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LGVG (Brandenburg) — Vorrang der Verpachtung und der Vergabe von Erbbaurechten</w:t>
      </w:r>
    </w:p>
    <w:p>
      <w:r>
        <w:rPr>
          <w:color w:val="555555"/>
          <w:sz w:val="18"/>
        </w:rPr>
        <w:t xml:space="preserve">Grundstücksverwertungsgesetz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Nutzung von Grund und Boden, der dem Land gehört, ist vorzugsweise über Pacht und Erbbaurecht zu regeln.</w:t>
      </w:r>
    </w:p>
    <w:p>
      <w:r>
        <w:rPr>
          <w:color w:val="555555"/>
          <w:sz w:val="17"/>
        </w:rPr>
        <w:t xml:space="preserve">Zitiervorschlag: § 2 LGVG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https://recht.nulegal.eu/gesetze/LGVG/2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