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LGVG (Brandenburg) — Grundsatz, Geltungsbereich</w:t>
      </w:r>
    </w:p>
    <w:p>
      <w:r>
        <w:rPr>
          <w:color w:val="555555"/>
          <w:sz w:val="18"/>
        </w:rPr>
        <w:t xml:space="preserve">Grundstücksverwertungsgesetz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dient der Ausgestaltung des Artikels 40 Abs. 1 Satz 3 und 4 der Verfassung des Landes Brandenburg.</w:t>
      </w:r>
    </w:p>
    <w:p>
      <w:r>
        <w:t xml:space="preserve">(2) Die Verwertung landeseigener Grundstücke erfolgt nach Maßgabe dieses Gesetzes. Bundes- und landesgesetzliche Bestimmungen, nach denen eine Veräußerung landeseigener Grundstücke bereits möglich oder geregelt ist, bleiben von den Vorschriften dieses Gesetzes unberührt.</w:t>
      </w:r>
    </w:p>
    <w:p>
      <w:r>
        <w:rPr>
          <w:color w:val="555555"/>
          <w:sz w:val="17"/>
        </w:rPr>
        <w:t xml:space="preserve">Zitiervorschlag: § 1 LGVG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