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LGRG (Bayern)</w:t>
      </w:r>
    </w:p>
    <w:p>
      <w:r>
        <w:rPr>
          <w:color w:val="555555"/>
          <w:sz w:val="18"/>
        </w:rPr>
        <w:t xml:space="preserve">Landesgesundheitsratsgesetz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LGRG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