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Schlussformel LGLV (Bayern)</w:t>
      </w:r>
    </w:p>
    <w:p>
      <w:r>
        <w:rPr>
          <w:color w:val="555555"/>
          <w:sz w:val="18"/>
        </w:rPr>
        <w:t xml:space="preserve">Verordnung über das Landesamt für Gesundheit und Lebensmittelsicherheit BayRS 2120-3-U/G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München, den 27. November 2001</w:t>
      </w:r>
    </w:p>
    <w:p>
      <w:r>
        <w:t xml:space="preserve">Der Bayerische Ministerpräsident</w:t>
      </w:r>
    </w:p>
    <w:p>
      <w:r>
        <w:t xml:space="preserve">Dr. Edmund Stoiber</w:t>
      </w:r>
    </w:p>
    <w:p>
      <w:r>
        <w:t xml:space="preserve">Bayerisches Staatsministerium für Gesundheit, Ernährung und Verbraucherschutz</w:t>
      </w:r>
    </w:p>
    <w:p>
      <w:r>
        <w:t xml:space="preserve">Eberhard Sinner, Staatsminister</w:t>
      </w:r>
    </w:p>
    <w:p>
      <w:r>
        <w:rPr>
          <w:color w:val="555555"/>
          <w:sz w:val="17"/>
        </w:rPr>
        <w:t xml:space="preserve">Zitiervorschlag: Schlussformel LGLV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https://recht.nulegal.eu/gesetze/LGLV/schlussformel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