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LGLV (Bayern) — Inkrafttreten</w:t>
      </w:r>
    </w:p>
    <w:p>
      <w:r>
        <w:rPr>
          <w:color w:val="555555"/>
          <w:sz w:val="18"/>
        </w:rPr>
        <w:t xml:space="preserve">Verordnung über das Landesamt für Gesundheit und Lebensmittelsicherheit BayRS 2120-3-U/G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2 LGLV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