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LGG (Brandenburg) — Einstellung und beruflicher Aufstieg</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Beträgt der Anteil von Frauen in einer Besoldungsgruppe innerhalb einer Laufbahn, in einer Entgeltgruppe oder in Funktionen mit Vorgesetzten- und Leitungsaufgaben nicht mindestens 50 Prozent, sind Frauen, die eine zur Ausfüllung der Stelle oder Funktion gleichwertige Qualifikation (Eignung, Befähigung und fachliche Leistung) besitzen wie Mitbewerber, bevorzugt einzustellen, höher zu gruppieren und zu befördern, sofern nicht in der Person des Mitbewerbers liegende Gründe überwiegen. Dies gilt nicht, wenn für die Besetzung einer Richterstelle die Mitwirkung des Richterwahlausschusses vorgeschrieben ist.</w:t>
      </w:r>
    </w:p>
    <w:p>
      <w:r>
        <w:t xml:space="preserve">(2) Bei Einstellung, Beförderung, Höhergruppierung und Übertragung höherbewerteter Dienstposten und Arbeitsplätze dürfen zum Nachteil der Betroffenen nicht berücksichtigt werden:</w:t>
      </w:r>
    </w:p>
    <w:p>
      <w:r>
        <w:t xml:space="preserve">der Familienstand,</w:t>
      </w:r>
    </w:p>
    <w:p>
      <w:r>
        <w:t xml:space="preserve">die zeitliche Belastung durch Elternschaft, durch die Betreuung pflegebedürftiger Angehöriger oder die Absicht, von der Möglichkeit einer Ermäßigung der Arbeitszeit Gebrauch zu machen,</w:t>
      </w:r>
    </w:p>
    <w:p>
      <w:r>
        <w:t xml:space="preserve">die Einkommenssituation des Partners oder der Partnerin,</w:t>
      </w:r>
    </w:p>
    <w:p>
      <w:r>
        <w:t xml:space="preserve">die Unterbrechung der Erwerbstätigkeit, die Reduzierung der Arbeitszeit oder die Verzögerung des Abschlusses einzelner Ausbildungsgänge aufgrund der Betreuung von Kindern oder pflegebedürftigen Angehörigen.</w:t>
      </w:r>
    </w:p>
    <w:p>
      <w:r>
        <w:t xml:space="preserve">(3) In der Familie und im Ehrenamt erworbene Erfahrungen und Fähigkeiten sind bei der Qualifikation zu berücksichtigen, wenn sie für die vorgesehenen Tätigkeiten dienlich sind.</w:t>
      </w:r>
    </w:p>
    <w:p>
      <w:r>
        <w:t xml:space="preserve">(4) Fragen nach Vorliegen einer Schwangerschaft, nach der Familienplanung oder danach, wie die Betreuung von Kindern oder pflegebedürftigen Angehörigen neben der Berufstätigkeit gewährleistet werden kann, sind unzulässig.</w:t>
      </w:r>
    </w:p>
    <w:p>
      <w:r>
        <w:rPr>
          <w:color w:val="555555"/>
          <w:sz w:val="17"/>
        </w:rPr>
        <w:t xml:space="preserve">Zitiervorschlag: § 9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