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LGG (Brandenburg) — Grundsätze</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Verwirklichung der tatsächlichen Gleichstellung von Frauen und Männern im öffentlichen Dienst sind Frauen nach Maßgabe dieses Gesetzes unter Berücksichtigung des verfassungsrechtlichen Vorranges von Eignung, Befähigung und fachlicher Leistung (Artikel 33 Abs. 2 Grundgesetz) zu fördern.</w:t>
      </w:r>
    </w:p>
    <w:p>
      <w:r>
        <w:t xml:space="preserve">(2) Die Dienststellen sind verpflichtet, durch Gleichstellungspläne und sonstige Maßnahmen der Förderung auf die Gleichstellung von Frauen und Männern im öffentlichen Dienst und auf die Beseitigung bestehender Unterrepräsentanzen hinzuwirken. Die Einzelfallgerechtigkeit ist zu wahren. Die Erfüllung dieser Verpflichtung ist besondere Aufgabe der Dienstkräfte mit Leitungsfunktionen und bei der Beurteilung ihrer Leistung einzubeziehen.</w:t>
      </w:r>
    </w:p>
    <w:p>
      <w:r>
        <w:t xml:space="preserve">(3) Unterrepräsentanz nach Absatz 2 liegt dann vor, wenn in Besoldungsgruppen innerhalb einer Laufbahn oder in Entgeltgruppen sowie zusätzlich in Funktionen mit Vorgesetzten- und Leitungsaufgaben in der jeweiligen Dienststelle weniger Frauen als Männer beschäftigt sind.</w:t>
      </w:r>
    </w:p>
    <w:p>
      <w:r>
        <w:rPr>
          <w:color w:val="555555"/>
          <w:sz w:val="17"/>
        </w:rPr>
        <w:t xml:space="preserve">Zitiervorschlag: § 4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