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LGG (Brandenburg) — Geltungsbereich</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gilt für die Verwaltung des Landes, für die der Aufsicht des Landes unterstehenden Körperschaften, Anstalten und Stiftungen des öffentlichen Rechts sowie für die Gerichte, den Landesrechnungshof und die Verwaltung des Landtages. Es gilt auch für die Landesbeauftragte oder den Landesbeauftragten für den Datenschutz und für das Recht auf Akteneinsicht Brandenburg sowie für die Landesbeauftragte oder den Landesbeauftragten zur Aufarbeitung der Folgen der kommunistischen Diktatur.</w:t>
      </w:r>
    </w:p>
    <w:p>
      <w:r>
        <w:t xml:space="preserve">(2) Dieses Gesetz gilt für die Verwaltung der Gemeinden, Ämter und Landkreise nach Maßgabe des § 25 sowie für die Eigenbetriebe, Krankenhäuser, Zweckverbände und der Aufsicht der Gemeinden, Ämter und Landkreise unterstehenden Stellen.</w:t>
      </w:r>
    </w:p>
    <w:p>
      <w:r>
        <w:t xml:space="preserve">(3) Soweit das Land Mehrheitsbeteiligungen an privatrechtlichen Unternehmen unmittelbar oder mittelbar hält oder erwirbt, hat es im Rahmen des geltenden Rechts dafür Sorge zu tragen, dass die Maßnahmen der Gleichstellung von Frauen und Männern entsprechend den Regelungen dieses Gesetzes auch in den privatrechtlichen Unternehmen umgesetzt werden. Bei Beteiligungen an privatrechtlichen Unternehmen ohne Mehrheit des Landes wirkt das Land auf die Anwendung dieses Gesetzes hin. Das Ziel der Gleichstellung und die entsprechenden Regelungen dieses Gesetzes gelten auch insbesondere im Bereich der Vorstands- und Geschäftsführungspositionen.</w:t>
      </w:r>
    </w:p>
    <w:p>
      <w:r>
        <w:t xml:space="preserve">(4) Dieses Gesetz gilt nicht für die Hochschulen.</w:t>
      </w:r>
    </w:p>
    <w:p>
      <w:r>
        <w:rPr>
          <w:color w:val="555555"/>
          <w:sz w:val="17"/>
        </w:rPr>
        <w:t xml:space="preserve">Zitiervorschlag: § 2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