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LGG (Brandenburg) — Teilzeitbeschäftigte</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Teilzeitbeschäftigten sind die gleichen beruflichen Chancen wie Vollzeitbeschäftigten einzuräumen. Teilzeitbeschäftigung darf sich nicht nachteilig auf die dienstliche Beurteilung auswirken.</w:t>
      </w:r>
    </w:p>
    <w:p>
      <w:r>
        <w:t xml:space="preserve">(2) Anträgen von Arbeitnehmerinnen und Arbeitnehmern auf Teilzeitbeschäftigung ist zu entsprechen, soweit nicht besondere dienstliche Belange entgegenstehen. Die Reduzierung der Arbeitszeit steht der Wahrnehmung von Vorgesetzten- und Leitungsaufgaben grundsätzlich nicht entgegen.</w:t>
      </w:r>
    </w:p>
    <w:p>
      <w:r>
        <w:t xml:space="preserve">(3) Nach Ablauf einer befristeten Teilzeitbeschäftigung im Rahmen eines unbefristeten Beschäftigungsverhältnisses besteht ein Anspruch auf Rückkehr zur Vollzeitbeschäftigung unter Wahrung der Belange von anderen Teilzeitbeschäftigten. Teilzeitbeschäftigte aus familiären Gründen, die eine vorzeitige Rückkehr zur Vollzeitbeschäftigung oder diese erstmals anstreben, sind unter Beachtung ihrer Qualifikation vorrangig zu berücksichtigen.</w:t>
      </w:r>
    </w:p>
    <w:p>
      <w:r>
        <w:t xml:space="preserve">(4) Wird eine Reduzierung der Arbeitszeit oder eine Beurlaubung ohne Entgelt beantragt, sind die Dienststellen verpflichtet, auf die allgemeinen sozial- und krankenversicherungs-, arbeits- und tarifrechtlichen Folgen hinzuweisen.</w:t>
      </w:r>
    </w:p>
    <w:p>
      <w:r>
        <w:rPr>
          <w:color w:val="555555"/>
          <w:sz w:val="17"/>
        </w:rPr>
        <w:t xml:space="preserve">Zitiervorschlag: § 18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