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LGG (Brandenburg) — Beurlaubung</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Arbeitnehmerinnen und Arbeitnehmer haben in entsprechender Anwendung des § 80 Abs. 1 Nr. 2 des Landesbeamtengesetzes Anspruch auf Beurlaubung aus familiären Gründen ohne Entgelt. Weitergehende tarifvertragliche Regelungen bleiben unberührt. Nach Beendigung der Beurlaubung ist anzustreben, die Beurlaubten wieder an ihrem alten Dienstort einzusetzen. Frauen in der Mutterschutzfrist und Frauen und Männer in der Elternzeit haben nach Ablauf dieser Zeiten Anspruch darauf, an ihren früheren oder einen gleichwertigen Arbeitsplatz zurückzukehren unter Bedingungen, die für sie nicht weniger günstig sind.</w:t>
      </w:r>
    </w:p>
    <w:p>
      <w:r>
        <w:t xml:space="preserve">(2) Eine Beurlaubung aus familiären Gründen steht der Übertragung einer höherbewerteten Tätigkeit, soweit es mit dienstlichen Belangen vereinbar ist, nicht entgegen. Die Dienststelle hat eine beurlaubte Person in die engere Entscheidung über eine Maßnahme nach Satz 1 dieses Absatzes einzubeziehen, wenn die zuletzt erreichten Leistungen und der Zeitpunkt der letzten vor der Beurlaubung liegenden Maßnahme nach Satz 1 dieses Absatzes dies rechtfertigen.</w:t>
      </w:r>
    </w:p>
    <w:p>
      <w:r>
        <w:t xml:space="preserve">(3) Während der Beurlaubung besteht die Möglichkeit der Teilnahme an Fortbildungsveranstaltungen. Beurlaubte sind in geeigneter Weise über die Fortbildungsprogramme zu informieren. Die Fortbildungsveranstaltungen sind dienstliche Veranstaltungen. Arbeitsentgelt wird den Beurlaubten aus Anlaß der Teilnahme nicht gewährt; eine Anrechnung auf die Beschäftigungs- und Dienstzeiten erfolgt nicht. Es besteht kein Anspruch auf Reisekosten- und Trennungsgeld.</w:t>
      </w:r>
    </w:p>
    <w:p>
      <w:r>
        <w:t xml:space="preserve">(4) Beschäftigungsverhältnisse zur Überbrückung von dienstlichen Engpässen sind vorrangig Beschäftigten anzubieten, die aus familiären Gründen beurlaubt sind.</w:t>
      </w:r>
    </w:p>
    <w:p>
      <w:r>
        <w:t xml:space="preserve">(5) Mit den Beurlaubten sind auf Antrag Beratungsgespräche zu führen, in denen sie über Einsatzmöglichkeiten während und nach der Beurlaubung informiert werden.</w:t>
      </w:r>
    </w:p>
    <w:p>
      <w:r>
        <w:rPr>
          <w:color w:val="555555"/>
          <w:sz w:val="17"/>
        </w:rPr>
        <w:t xml:space="preserve">Zitiervorschlag: § 17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