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LGG (Brandenburg) — Familie und Lebensgemeinschaften</w:t>
      </w:r>
    </w:p>
    <w:p>
      <w:r>
        <w:rPr>
          <w:color w:val="555555"/>
          <w:sz w:val="18"/>
        </w:rPr>
        <w:t xml:space="preserve">Landesgleichstellungsgesetz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Regelungen nach § 11 Abs. 2, §§ 17 und 19 gelten unabhängig vom Familienstand für Lebensgemeinschaften mit Kindern oder pflegebedürftigen Angehörigen.</w:t>
      </w:r>
    </w:p>
    <w:p>
      <w:r>
        <w:rPr>
          <w:color w:val="555555"/>
          <w:sz w:val="17"/>
        </w:rPr>
        <w:t xml:space="preserve">Zitiervorschlag: § 16 LGG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https://recht.nulegal.eu/gesetze/LGG/16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