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LGG (Brandenburg) — Sprache</w:t>
      </w:r>
    </w:p>
    <w:p>
      <w:r>
        <w:rPr>
          <w:color w:val="555555"/>
          <w:sz w:val="18"/>
        </w:rPr>
        <w:t xml:space="preserve">Landesgleichstellungsgesetz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Gesetze und andere Rechtsvorschriften haben sprachlich der Gleichstellung von Frauen und Männern Rechnung zu tragen.</w:t>
      </w:r>
    </w:p>
    <w:p>
      <w:r>
        <w:t xml:space="preserve">(2) Im dienstlichen Schriftverkehr ist bei der Formulierung besonders auf die Gleichbehandlung von Frauen und Männern zu achten.</w:t>
      </w:r>
    </w:p>
    <w:p>
      <w:r>
        <w:t xml:space="preserve">(3) In Vordrucken sind geschlechtsneutrale Personenbezeichnungen zu verwenden. Sofern diese nicht gefunden werden können, ist die weibliche und männliche Sprachform zu verwenden.</w:t>
      </w:r>
    </w:p>
    <w:p>
      <w:r>
        <w:rPr>
          <w:color w:val="555555"/>
          <w:sz w:val="17"/>
        </w:rPr>
        <w:t xml:space="preserve">Zitiervorschlag: § 13 LGG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https://recht.nulegal.eu/gesetze/LGG/13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