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LGG (Brandenburg) — Fortbildung</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Teilnahmeplätze für Fortbildungsveranstaltungen sollen zur Hälfte mit Frauen besetzt werden. Für weibliche Beschäftigte sind besondere Fortbildungsveranstaltungen anzubieten, die eine weitere Qualifizierung ermöglichen und auf die Übernahme von Tätigkeiten vorbereiten, bei denen Frauen unterrepräsentiert sind.</w:t>
      </w:r>
    </w:p>
    <w:p>
      <w:r>
        <w:t xml:space="preserve">(2) Die Teilnahme an Fortbildungsveranstaltungen ist auch Beschäftigten mit Familienpflichten und Teilzeitbeschäftigten sowie Beschäftigten in Eltern- oder Pflegezeit zu ermöglichen.</w:t>
      </w:r>
    </w:p>
    <w:p>
      <w:r>
        <w:t xml:space="preserve">(3) Fortbildungsprogramme, insbesondere für Beschäftigte mit Vorgesetzten- und Leitungsaufgaben und solche im Personalwesen, haben dieses Gesetz als Unterrichtsgegenstand vorzusehen.</w:t>
      </w:r>
    </w:p>
    <w:p>
      <w:r>
        <w:t xml:space="preserve">(4) Frauen sind verstärkt als Dozentinnen bei Fortbildungsmaßnahmen einzusetzen.</w:t>
      </w:r>
    </w:p>
    <w:p>
      <w:r>
        <w:rPr>
          <w:color w:val="555555"/>
          <w:sz w:val="17"/>
        </w:rPr>
        <w:t xml:space="preserve">Zitiervorschlag: § 11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