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LFzPfSchG</w:t>
      </w:r>
    </w:p>
    <w:p>
      <w:r>
        <w:rPr>
          <w:color w:val="555555"/>
          <w:sz w:val="18"/>
        </w:rPr>
        <w:t xml:space="preserve">Gesetz über die Unzulässigkeit der Sicherungsbeschlagnahme von Luftfahrzeugen</w:t>
      </w:r>
    </w:p>
    <w:p>
      <w:r>
        <w:rPr>
          <w:color w:val="555555"/>
          <w:sz w:val="18"/>
        </w:rPr>
        <w:t xml:space="preserve">Stand: 10.06.2019 (konsolidierte Textfassung, kein amtliches Inkrafttretensdatum)</w:t>
      </w:r>
    </w:p>
    <w:p>
      <w:r>
        <w:t xml:space="preserve">Die in diesem Gesetz bestimmten Vergünstigungen genießen Luftfahrzeuge aus Staaten, für die das Inkrafttreten des Abkommens vom 29. Mai 1933 zur Vereinheitlichung von Regeln über die Sicherungsbeschlagnahme von Luftfahrzeugen (RGBl. 1935 II S. 301) im Bundesgesetzblatt bekannt gemacht worden ist.</w:t>
      </w:r>
    </w:p>
    <w:p>
      <w:r>
        <w:rPr>
          <w:color w:val="555555"/>
          <w:sz w:val="17"/>
        </w:rPr>
        <w:t xml:space="preserve">Zitiervorschlag: § 5 LFzPfSchG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https://recht.nulegal.eu/gesetze/LFzPfSchG/5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