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LFzPfSchG</w:t>
      </w:r>
    </w:p>
    <w:p>
      <w:r>
        <w:rPr>
          <w:color w:val="555555"/>
          <w:sz w:val="18"/>
        </w:rPr>
        <w:t xml:space="preserve">Gesetz über die Unzulässigkeit der Sicherungsbeschlagnahme von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Vollziehung eines Arrestes dürfen nicht gepfändet werden:</w:t>
      </w:r>
    </w:p>
    <w:p>
      <w:pPr>
        <w:ind w:left="420"/>
      </w:pPr>
      <w:r>
        <w:t xml:space="preserve">1. Luftfahrzeuge, die ausschließlich staatlichen oder postalischen Zwecken dienen,</w:t>
      </w:r>
    </w:p>
    <w:p>
      <w:pPr>
        <w:ind w:left="420"/>
      </w:pPr>
      <w:r>
        <w:t xml:space="preserve">2. Luftfahrzeuge, die auf einer Fluglinie des öffentlichen Verkehrs eingesetzt sind, sowie die für den Liniendienst unentbehrlichen Ersatzluftfahrzeuge,</w:t>
      </w:r>
    </w:p>
    <w:p>
      <w:pPr>
        <w:ind w:left="420"/>
      </w:pPr>
      <w:r>
        <w:t xml:space="preserve">3. andere Luftfahrzeuge, die zur Beförderung von Personen oder Gütern gegen Entgelt verwendet werden und zum Abflug für eine solche Beförderung fertig sind.</w:t>
      </w:r>
    </w:p>
    <w:p>
      <w:r>
        <w:rPr>
          <w:color w:val="555555"/>
          <w:sz w:val="17"/>
        </w:rPr>
        <w:t xml:space="preserve">Zitiervorschlag: § 1 LFzPfSchG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https://recht.nulegal.eu/gesetze/LFzPfSchG/1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