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LFischVO (Nordrhein-Westfalen)</w:t>
      </w:r>
    </w:p>
    <w:p>
      <w:r>
        <w:rPr>
          <w:color w:val="555555"/>
          <w:sz w:val="18"/>
        </w:rPr>
        <w:t xml:space="preserve">Landesfischereiverordnung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9. März 2010</w:t>
      </w:r>
    </w:p>
    <w:p>
      <w:r>
        <w:t xml:space="preserve">Auf Grund der §§ 38 Absatz 2, 39 Absatz 3, 42 Absatz 1 und 48 Absatz 3 des Landesfischereigesetzes in der Fassung der Bekanntmachung vom 22. Juni 1994 (GV. NRW. S. 516, ber. S. 864), zuletzt geändert durch Gesetz vom 9. Februar 2010 (GV. NRW. S. 137), wird nach Anhörung des Beirates für das Fischereiwesen verordnet:</w:t>
      </w:r>
    </w:p>
    <w:p>
      <w:r>
        <w:rPr>
          <w:color w:val="555555"/>
          <w:sz w:val="17"/>
        </w:rPr>
        <w:t xml:space="preserve">Zitiervorschlag: Eingangsformel LFischVO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https://recht.nulegal.eu/gesetze/LFischVO/eingangsformel</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