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LFischVO (Nordrhein-Westfalen) — Fang und Abgabe von Köderfischen</w:t>
      </w:r>
    </w:p>
    <w:p>
      <w:r>
        <w:rPr>
          <w:color w:val="555555"/>
          <w:sz w:val="18"/>
        </w:rPr>
        <w:t xml:space="preserve">Landesfischereiverordnung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den §§ 1 bis 3 genannten Arten dürfen als Köderfische oder Fischköder weder feilgeboten noch abgegeben werden.</w:t>
      </w:r>
    </w:p>
    <w:p>
      <w:r>
        <w:t xml:space="preserve">(2) Nicht in den §§ 1 bis 3 genannte Arten dürfen vom Fischereiausübungsberechtigten nur im Rahmen der Eigenbedarfsdeckung gefangen und unter den Beschränkungen des § 6 als Köderfische verwendet werden.</w:t>
      </w:r>
    </w:p>
    <w:p>
      <w:r>
        <w:t xml:space="preserve">(3) Abweichend von Absatz 2 dürfen Berufsfischer Köderfische über den eigenen Bedarf hinaus fangen, abgeben oder feilbieten.</w:t>
      </w:r>
    </w:p>
    <w:p>
      <w:r>
        <w:rPr>
          <w:color w:val="555555"/>
          <w:sz w:val="17"/>
        </w:rPr>
        <w:t xml:space="preserve">Zitiervorschlag: § 5 LFischVO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https://recht.nulegal.eu/gesetze/LFischVO/5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