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LFischVO (Nordrhein-Westfalen) — Inkrafttreten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Mit dem Inkrafttreten dieser Verordnung tritt die ordnungsbehördliche Verordnung zum Landesfischereigesetz vom 6. Juni 1993 (GV. NRW. S. 348) außer Kraft.</w:t>
      </w:r>
    </w:p>
    <w:p>
      <w:r>
        <w:t xml:space="preserve">1) Unter der Gattung Cobitis sp. ist die in Nordrhein-Westfalen vorkommende Art Cobitis taenia mit Hybriden aus den Arten C. taenia und C. elongatoides zusammengefasst.</w:t>
      </w:r>
    </w:p>
    <w:p>
      <w:r>
        <w:t xml:space="preserve">2) Die in Nordrhein-Westfalen vorkommenden Arten Cottus gobio, C. perifretum und C. rhenanus, die schwer zu unterscheiden sind, sind hier unter der Gattung Cottus sp. zusammengefasst.</w:t>
      </w:r>
    </w:p>
    <w:p>
      <w:r>
        <w:rPr>
          <w:color w:val="555555"/>
          <w:sz w:val="17"/>
        </w:rPr>
        <w:t xml:space="preserve">Zitiervorschlag: § 25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