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LFischVO (Nordrhein-Westfalen) — Fischereierlaubnisscheine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Fischereierlaubnisscheine, die länger als vier Wochen gültig sind, sind Vordrucke entsprechend Anlage 5 zu verwenden. Soweit Fischereierlaubnisscheine elektronisch ausgestellt werden, entfällt die in Anlage 5 vorgesehene Unterschriftenzeile.</w:t>
      </w:r>
    </w:p>
    <w:p>
      <w:r>
        <w:t xml:space="preserve">(2) Wer Erlaubnisscheine nach Absatz 1 ausstellt, hat hierüber Listen entsprechend dem Muster nach Anlage 6 zu führen.</w:t>
      </w:r>
    </w:p>
    <w:p>
      <w:r>
        <w:t xml:space="preserve">(3) Bei elektronisch ausgestellten Erlaubnisscheinen gemäß § 38 Absatz 1 Satz 2 des Landesfischereigesetzes entfallen die Angaben Name, Vorname, Geburtsdatum und Geburtsort, wenn die berechtigte Person auf andere Weise nachweist, Inhaberin des Fischereierlaubnisscheins zu sein.</w:t>
      </w:r>
    </w:p>
    <w:p>
      <w:r>
        <w:t xml:space="preserve">(4) Für Erlaubnisscheine mit einer Gültigkeitsdauer von weniger als vier Wochen genügt der Nachweis der nummerierten Erlaubnisscheindurchschriften.</w:t>
      </w:r>
    </w:p>
    <w:p>
      <w:r>
        <w:rPr>
          <w:color w:val="555555"/>
          <w:sz w:val="17"/>
        </w:rPr>
        <w:t xml:space="preserve">Zitiervorschlag: § 22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