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LFischVO (Nordrhein-Westfalen) — Aufzeichnungspflichten in der Freizeitfischerei</w:t>
      </w:r>
    </w:p>
    <w:p>
      <w:r>
        <w:rPr>
          <w:color w:val="555555"/>
          <w:sz w:val="18"/>
        </w:rPr>
        <w:t xml:space="preserve">Landesfischereiverordnung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Hegeverpflichteten (Fischereiberechtigte, -pächter und -genossenschaften) dokumentieren den Fang von Aalen anhand von Fanglisten der Freizeitfischer.</w:t>
      </w:r>
    </w:p>
    <w:p>
      <w:r>
        <w:t xml:space="preserve">(2) Die Aufzeichnungen nach Absatz 1 umfassen auch die Prüfung der Fanglisten auf Plausibilität und eine abschließende Schätzung der durch Freizeitfischer entnommenen Aalmengen. Sie sind einmal jährlich zum 31. März dem Landesamt zu übermitteln.</w:t>
      </w:r>
    </w:p>
    <w:p>
      <w:r>
        <w:rPr>
          <w:color w:val="555555"/>
          <w:sz w:val="17"/>
        </w:rPr>
        <w:t xml:space="preserve">Zitiervorschlag: § 21 LFischVO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https://recht.nulegal.eu/gesetze/LFischVO/21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