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LFischVO (Nordrhein-Westfalen) — Aufzeichnungspflichten der Erwerbsfischer und Erstvermarktung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Aale zu Erwerbszwecken fängt, hat für jeden Fangtag schriftliche Aufzeichnungen zu fertigen über</w:t>
      </w:r>
    </w:p>
    <w:p>
      <w:r>
        <w:t xml:space="preserve">1. das Fanggebiet,</w:t>
      </w:r>
    </w:p>
    <w:p>
      <w:r>
        <w:t xml:space="preserve">2. das Fanggewicht der angelandeten Aale,</w:t>
      </w:r>
    </w:p>
    <w:p>
      <w:r>
        <w:t xml:space="preserve">3. den prozentualen Anteil der Blankaale im Fang und</w:t>
      </w:r>
    </w:p>
    <w:p>
      <w:r>
        <w:t xml:space="preserve">4. die Art, die Anzahl sowie die Einsatzzeit der zum Fang verwendeten Fanggeräte.</w:t>
      </w:r>
    </w:p>
    <w:p>
      <w:r>
        <w:t xml:space="preserve">Eintragungen sind in dauerhafter Form vorzunehmen. Die Aufzeichnungen sind der Fischereiaufsicht auf Verlangen zur Prüfung auszuhändigen.</w:t>
      </w:r>
    </w:p>
    <w:p>
      <w:r>
        <w:t xml:space="preserve">(2) Die Aufzeichnungen nach Absatz 1 sind in Kopie einmal jährlich zum 31. Dezember an die obere Fischereibehörde zu übermitteln. Nach Ablauf eines Kalenderjahres sind die Aufzeichnungen des betroffenen Kalenderjahres fünf Jahre aufzubewahren.</w:t>
      </w:r>
    </w:p>
    <w:p>
      <w:r>
        <w:t xml:space="preserve">(3) Bei der Abgabe von Aalen in frischer oder verarbeiteter Form an Endverbraucher oder Wiederverkäufer (Erstvermarktung) ist von den Erwerbsfischern, die ihren Betriebssitz im Land Nordrhein-Westfalen haben, nach dem Muster in Anlage 3 ein Aal-Ausgangsbuch mit Angabe der abgegebenen Aalmenge und dem Be- oder Verarbeitungszustand zu führen.</w:t>
      </w:r>
    </w:p>
    <w:p>
      <w:r>
        <w:t xml:space="preserve">(4) Bei der Aufnahme von Aalen in frischer oder verarbeiteter Form ist von den Erwerbsfischern oder Wiederverkäufern nach dem Muster in Anlage 4 ein Aal-Eingangsbuch mit Angabe der eingegangenen Aalmenge und dem Be- oder Verarbeitungszustand zu führen.</w:t>
      </w:r>
    </w:p>
    <w:p>
      <w:r>
        <w:t xml:space="preserve">(5) Im Rahmen der Erstvermarktung ist die nach § 19 Absatz 1 erteilte Registriernummer auf allen Handels- und Transportbelegen auszuweisen.</w:t>
      </w:r>
    </w:p>
    <w:p>
      <w:r>
        <w:rPr>
          <w:color w:val="555555"/>
          <w:sz w:val="17"/>
        </w:rPr>
        <w:t xml:space="preserve">Zitiervorschlag: § 20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