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LFVV — Verbote der Verbringung auf Grund von Schutzmaßnahmen der Europäischen Gemeinschaft oder der Europäischen Union</w:t>
      </w:r>
    </w:p>
    <w:p>
      <w:r>
        <w:rPr>
          <w:color w:val="555555"/>
          <w:sz w:val="18"/>
        </w:rPr>
        <w:t xml:space="preserve">Lebensmittel-und-Futtermittel-Verbringungs-Verordnung</w:t>
      </w:r>
    </w:p>
    <w:p>
      <w:r>
        <w:rPr>
          <w:color w:val="555555"/>
          <w:sz w:val="18"/>
        </w:rPr>
        <w:t xml:space="preserve">Stand: 20.04.2024 (konsolidierte Textfassung, kein amtliches Inkrafttretensdatum)</w:t>
      </w:r>
    </w:p>
    <w:p>
      <w:r>
        <w:t xml:space="preserve">(1) Lebensmittel oder Futtermittel dürfen nicht in die Europäische Union verbracht werden, soweit</w:t>
      </w:r>
    </w:p>
    <w:p>
      <w:pPr>
        <w:ind w:left="420"/>
      </w:pPr>
      <w:r>
        <w:t xml:space="preserve">1. die Verbringung in die Europäische Union durch einen nicht unmittelbar geltenden Rechtsakt verboten ist, den die Europäische Gemeinschaft oder die Europäische Union erlassen hat auf Grund</w:t>
      </w:r>
    </w:p>
    <w:p>
      <w:pPr>
        <w:ind w:left="780"/>
      </w:pPr>
      <w:r>
        <w:t xml:space="preserve">a) des Artikels 53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auch in Verbindung mit Artikel 47 Absatz 1 Buchstabe e der Verordnung (EU) 2017/625,</w:t>
      </w:r>
    </w:p>
    <w:p>
      <w:pPr>
        <w:ind w:left="780"/>
      </w:pPr>
      <w:r>
        <w:t xml:space="preserve">b) des Artikels 128 Absatz 1, auch in Verbindung mit Artikel 47 Absatz 1 Buchstabe f, der Verordnung (EU) 2017/625, oder</w:t>
      </w:r>
    </w:p>
    <w:p>
      <w:pPr>
        <w:ind w:left="780"/>
      </w:pPr>
      <w:r>
        <w:t xml:space="preserve">c) des Artikels 22 Absatz 1 der Richtlinie 97/78/EG des Rates vom 18. Dezember 1997 zur Festlegung von Grundregeln für die Veterinärkontrollen von aus Drittländern in die Gemeinschaft eingeführten Erzeugnissen (ABl. L 24 vom 30.1.1998, S. 9), die durch die Verordnung (EU) 2017/625 aufgehoben worden ist, in der bis zum Ablauf des 13. Dezember 2019 geltenden Fassung und</w:t>
      </w:r>
    </w:p>
    <w:p>
      <w:pPr>
        <w:ind w:left="420"/>
      </w:pPr>
      <w:r>
        <w:t xml:space="preserve">2. das Bundesministerium für Ernährung und Landwirtschaft (Bundesministerium) den jeweiligen Rechtsakt nach Nummer 1 oder dessen Änderung im Bundesanzeiger bekannt gemacht hat.</w:t>
      </w:r>
    </w:p>
    <w:p>
      <w:r>
        <w:t xml:space="preserve">Die Aufhebung eines Rechtsaktes nach Satz 1 Nummer 1 wird vom Bundesministerium ebenfalls im Bundesanzeiger bekannt gemacht.</w:t>
      </w:r>
    </w:p>
    <w:p>
      <w:r>
        <w:t xml:space="preserve">(2) Die Rechtsakte nach Absatz 1 Satz 1 Nummer 1 gelten mit Beginn des Tages, der auf ihre Bekanntmachung nach Absatz 1 Satz 1 Nummer 2 folgt, als bekannt gemacht. Sofern in der Bekanntmachung ein späterer Zeitpunkt bestimmt ist, gilt dieser als Zeitpunkt der Bekanntmachung.</w:t>
      </w:r>
    </w:p>
    <w:p>
      <w:r>
        <w:t xml:space="preserve">(3) Lebensmittel und Futtermittel dürfen auch dann nicht in die Europäische Union verbracht werden, wenn in einem Rechtsakt nach Absatz 1 Satz 1 Nummer 1 in Verbindung mit Nummer 2 besondere Voraussetzungen für die Verbringung oder das erstmalige Inverkehrbringen der Lebensmittel oder Futtermittel bestimmt sind und diese Voraussetzungen nicht erfüllt sind.</w:t>
      </w:r>
    </w:p>
    <w:p>
      <w:r>
        <w:t xml:space="preserve">(4) Das Verbot des Absatzes 1 Satzteil vor Nummer 1 gilt nicht für Lebensmittel oder Futtermittel, die vor der Bekanntmachung des Rechtsakts in die Europäische Union verbracht worden sind.</w:t>
      </w:r>
    </w:p>
    <w:p>
      <w:r>
        <w:rPr>
          <w:color w:val="555555"/>
          <w:sz w:val="17"/>
        </w:rPr>
        <w:t xml:space="preserve">Zitiervorschlag: § 3 LFVV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