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LFGBZV (Brandenburg) — Verfolgung und Ahndung von Ordnungswidrigkeiten, Einziehung</w:t>
      </w:r>
    </w:p>
    <w:p>
      <w:r>
        <w:rPr>
          <w:color w:val="555555"/>
          <w:sz w:val="18"/>
        </w:rPr>
        <w:t xml:space="preserve">Verordnung über die Zuständigkeiten nach dem Lebensmittel- und Futtermittelgesetzbuch, dem Verbraucherinformationsgesetz und weiteren Vorschriften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Im Rahmen der §§ 1 und 2 sind die dort genannten Behörden zuständig für die Verfolgung und Ahndung von Ordnungswidrigkeiten sowie die Einziehung von Gegenständen.</w:t>
      </w:r>
    </w:p>
    <w:p>
      <w:r>
        <w:rPr>
          <w:color w:val="555555"/>
          <w:sz w:val="17"/>
        </w:rPr>
        <w:t xml:space="preserve">Zitiervorschlag: § 4 LFGBZV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https://recht.nulegal.eu/gesetze/LFGBZV/4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