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LFGBZV (Brandenburg) — Zuständigkeiten nach dem Verbraucherinformationsgesetz</w:t>
      </w:r>
    </w:p>
    <w:p>
      <w:r>
        <w:rPr>
          <w:color w:val="555555"/>
          <w:sz w:val="18"/>
        </w:rPr>
        <w:t xml:space="preserve">Verordnung über die Zuständigkeiten nach dem Lebensmittel- und Futtermittelgesetzbuch, dem Verbraucherinformationsgesetz und weiteren Vorschriften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 nach § 3 Abs. 1 Satz 3 Nr. 2 des Verbraucherinformationsgesetzes vom 5. November 2007 (BGBl. I S. 2558) und damit informationspflichtig im Sinne des § 3 Abs. 2 Satz 1 des Verbraucherinformationsgesetzes sowie für damit im Zusammenhang stehende Amtshandlungen sind</w:t>
      </w:r>
    </w:p>
    <w:p>
      <w:r>
        <w:t xml:space="preserve">das Landesamt für Arbeitsschutz, Verbraucherschutz und Gesundheit für Informationen, die</w:t>
      </w:r>
    </w:p>
    <w:p>
      <w:r>
        <w:t xml:space="preserve">bei Behörden des Landes oder anderen Dienststellen des Landes vorhanden sind oder</w:t>
      </w:r>
    </w:p>
    <w:p>
      <w:r>
        <w:t xml:space="preserve">über den örtlichen Zuständigkeitsbereich einer Überwachungsbehörde hinausgehen,</w:t>
      </w:r>
    </w:p>
    <w:p>
      <w:r>
        <w:t xml:space="preserve">im Übrigen die Landkreise und kreisfreien Städte.</w:t>
      </w:r>
    </w:p>
    <w:p>
      <w:r>
        <w:rPr>
          <w:color w:val="555555"/>
          <w:sz w:val="17"/>
        </w:rPr>
        <w:t xml:space="preserve">Zitiervorschlag: § 3 LFGBZV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