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LFGBZV (Brandenburg) — Landesoberbehörde</w:t>
      </w:r>
    </w:p>
    <w:p>
      <w:r>
        <w:rPr>
          <w:color w:val="555555"/>
          <w:sz w:val="18"/>
        </w:rPr>
        <w:t xml:space="preserve">Verordnung über die Zuständigkeiten nach dem Lebensmittel- und Futtermittelgesetzbuch, dem Verbraucherinformationsgesetz und weiteren Vorschriften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Das Landesamt für Arbeitsschutz, Verbraucherschutz und Gesundheit ist zuständige Behörde im Sinne des § 38 Abs. 1 des Lebensmittel- und Futtermittelgesetzbuches für</w:t>
      </w:r>
    </w:p>
    <w:p>
      <w:r>
        <w:t xml:space="preserve">die Entgegennahme, Prüfung, Bewertung und Weiterleitung von Meldungen im Rahmen des europäischen Schnellwarnsystems gemäß Artikel 50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EG Nr. L 31 S. 1) sowie gemäß Artikel 12 der Richtlinie 2001/95/EG des Europäischen Parlaments und des Rates vom 3. Dezember 2001 über die allgemeine Produktsicherheit (ABl. EG 2002 Nr. L 11 S. 4),</w:t>
      </w:r>
    </w:p>
    <w:p>
      <w:r>
        <w:t xml:space="preserve">die Aufgaben an den Grenzkontrollstellen zur Einhaltung lebensmittel- und futtermittelrechtlicher Vorschriften,</w:t>
      </w:r>
    </w:p>
    <w:p>
      <w:r>
        <w:t xml:space="preserve">die Zulassung von Ausnahmen nach § 68 Abs. 2 Nr. 2 Buchstabe b und c und § 68 Abs. 2 Nr. 4 sowie § 69 des Lebensmittel- und Futtermittelgesetzbuches,</w:t>
      </w:r>
    </w:p>
    <w:p>
      <w:r>
        <w:t xml:space="preserve">die Zulassung von Ausnahmen zur Verwendung einer Registriernummer nach § 5a Abs. 5 der Verordnung über kosmetische Mittel,</w:t>
      </w:r>
    </w:p>
    <w:p>
      <w:r>
        <w:t xml:space="preserve">die Entgegennahme und Weiterleitung von Mitteilungen über Orte der Herstellung sowie über Orte der erstmaligen Einfuhr kosmetischer Mittel nach § 5d Abs. 1 der Verordnung über kosmetische Mittel,</w:t>
      </w:r>
    </w:p>
    <w:p>
      <w:r>
        <w:t xml:space="preserve">die Überwachung der Einhaltung der für die Hersteller und Händler von Futtermitteln, Zusatzstoffen und Vormischungen geltenden Rechtsvorschriften einschließlich der Zulassung und Registrierung nach der Verordnung (EG) Nr. 183/2005 des Europäischen Parlaments und des Rates vom 12. Januar 2005 mit Vorschriften für die Futtermittelhygiene (ABl. EU Nr. L 35 S. 1) und der Zulassung nach Anhang IV der Verordnung (EG) Nr. 999/2001 des Europäischen Parlaments und des Rates vom 22. Mai 2001 mit Vorschriften zur Verhütung, Kontrolle und Tilgung bestimmter transmissibler spongiformer Enzephalopathien (ABl. EG Nr. L 147 S. 1); dies gilt nicht, soweit Landwirte gleichzeitig Futtermittel herstellen, behandeln oder in den Verkehr bringen,</w:t>
      </w:r>
    </w:p>
    <w:p>
      <w:r>
        <w:t xml:space="preserve">die Information der Öffentlichkeit, soweit nicht auf Grund der landespolitischen Bedeutung das für die Lebensmittel- und Futtermittelüberwachung zuständige Ministerium nach § 1 Abs. 1 Nr. 5 oder auf Grund des örtlichen Bezuges die jeweilige Überwachungsbehörde tätig wird,</w:t>
      </w:r>
    </w:p>
    <w:p>
      <w:r>
        <w:t xml:space="preserve">Anerkennungen, Zulassungen und Genehmigungen nach der Mineral- und Tafelwasserverordnung, dem Weingesetz sowie nach dem Vorläufigen Biergesetz, soweit es nach Artikel 2 des Gesetzes zur Neuordnung des Lebensmittel und Futtermittelrechts vom 1. September 2005 (BGBl. I S. 2618, 2653) weiter anwendbar ist.</w:t>
      </w:r>
    </w:p>
    <w:p>
      <w:r>
        <w:rPr>
          <w:color w:val="555555"/>
          <w:sz w:val="17"/>
        </w:rPr>
        <w:t xml:space="preserve">Zitiervorschlag: § 2 LFGBZV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https://recht.nulegal.eu/gesetze/LFGBZV/2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