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LFGB — Pflanzenschutz- oder sonstige Mittel</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Es ist verboten, Lebensmittel in den Verkehr zu bringen,</w:t>
      </w:r>
    </w:p>
    <w:p>
      <w:pPr>
        <w:ind w:left="420"/>
      </w:pPr>
      <w:r>
        <w:t xml:space="preserve">1. wenn in oder auf ihnen Pflanzenschutzmittel im Sinne des Pflanzenschutzgesetzes, Düngemittel im Sinne des Düngegesetzes, andere Pflanzen- oder Bodenbehandlungsmittel, Biozid-Produkte im Sinne des Chemikaliengesetzes, soweit sie dem Vorratsschutz, der Schädlingsbekämpfung oder dem Schutz von Lebensmitteln dienen (Pflanzenschutz- oder sonstige Mittel) oder deren Umwandlungs- oder Reaktionsprodukte vorhanden sind, die nach Absatz 2 Nummer 1 Buchstabe a festgesetzte Höchstmengen überschreiten,</w:t>
      </w:r>
    </w:p>
    <w:p>
      <w:pPr>
        <w:ind w:left="420"/>
      </w:pPr>
      <w:r>
        <w:t xml:space="preserve">2. wenn in oder auf ihnen Pflanzenschutzmittel im Sinne des Pflanzenschutzgesetzes vorhanden sind, die nicht zugelassen sind oder die bei den Lebensmitteln oder deren Ausgangsstoffen nicht angewendet werden dürfen,</w:t>
      </w:r>
    </w:p>
    <w:p>
      <w:pPr>
        <w:ind w:left="420"/>
      </w:pPr>
      <w:r>
        <w:t xml:space="preserve">3. die den Anforderungen nach Artikel 18 Absatz 1, auch in Verbindung mit Artikel 20 Absatz 1, der Verordnung (EG) Nr. 396/2005 des Europäischen Parlaments und des Rates vom 23. Februar 2005 über Höchstgehalte an Pestizidrückständen in oder auf Lebens- und Futtermitteln pflanzlichen und tierischen Ursprungs und zur Änderung der Richtlinie 91/414/EWG des Rates (ABl. L 70 vom 16.3.2005, S. 1), die zuletzt durch die Verordnung (EU) 2020/192 (ABl. L 40 vom 13.2.2020, S. 4) geändert worden ist, nicht entsprechen.</w:t>
      </w:r>
    </w:p>
    <w:p>
      <w:r>
        <w:t xml:space="preserve">Satz 1 Nummer 2 gilt nicht, soweit für die dort genannten Mittel Rückstandshöchstgehalte nach Artikel 18 Absatz 1, auch in Verbindung mit Artikel 20 Absatz 1, der Verordnung (EG) Nr. 396/2005 oder Höchstmengen nach Absatz 2 Nummer 1 Buchstabe a festgesetzt sind.</w:t>
      </w:r>
    </w:p>
    <w:p>
      <w:r>
        <w:t xml:space="preserve">(2) Das Bundesministerium wird ermächtigt, im Einvernehmen mit dem Bundesministerium für Wirtschaft und Energie durch Rechtsverordnung mit Zustimmung des Bundesrates,</w:t>
      </w:r>
    </w:p>
    <w:p>
      <w:pPr>
        <w:ind w:left="420"/>
      </w:pPr>
      <w:r>
        <w:t xml:space="preserve">1. soweit es zur Erfüllung der in § 1 Absatz 1 Nummer 1 oder 2, jeweils auch in Verbindung mit § 1 Absatz 3, genannten Zwecke erforderlich ist,</w:t>
      </w:r>
    </w:p>
    <w:p>
      <w:pPr>
        <w:ind w:left="780"/>
      </w:pPr>
      <w:r>
        <w:t xml:space="preserve">a) für Pflanzenschutz- oder sonstige Mittel oder deren Umwandlungs- und Reaktionsprodukte Höchstmengen festzusetzen, die in oder auf Lebensmitteln beim Inverkehrbringen nicht überschritten sein dürfen,</w:t>
      </w:r>
    </w:p>
    <w:p>
      <w:pPr>
        <w:ind w:left="780"/>
      </w:pPr>
      <w:r>
        <w:t xml:space="preserve">b) das Inverkehrbringen von Lebensmitteln, bei denen oder bei deren Ausgangsstoffen bestimmte Stoffe als Pflanzenschutz- oder sonstige Mittel angewendet worden sind, zu verbieten,</w:t>
      </w:r>
    </w:p>
    <w:p>
      <w:pPr>
        <w:ind w:left="780"/>
      </w:pPr>
      <w:r>
        <w:t xml:space="preserve">c) Maßnahmen zur Entwesung, Entseuchung oder Entkeimung von Räumen oder Geräten, in denen oder mit denen Lebensmittel hergestellt, behandelt oder in den Verkehr gebracht werden, von einer Genehmigung oder Anzeige abhängig zu machen sowie die Anwendung bestimmter Mittel, Geräte oder Verfahren bei solchen Maßnahmen vorzuschreiben, zu verbieten oder zu beschränken,</w:t>
      </w:r>
    </w:p>
    <w:p>
      <w:pPr>
        <w:ind w:left="420"/>
      </w:pPr>
      <w:r>
        <w:t xml:space="preserve">2. soweit es mit den in § 1 Absatz 1 Nummer 1 oder Nummer 2, jeweils auch in Verbindung mit § 1 Absatz 3, genannten Zwecken vereinbar ist, Ausnahmen von dem Verbot</w:t>
      </w:r>
    </w:p>
    <w:p>
      <w:pPr>
        <w:ind w:left="780"/>
      </w:pPr>
      <w:r>
        <w:t xml:space="preserve">a) des Absatzes 1 Satz 1 Nummer 2 oder</w:t>
      </w:r>
    </w:p>
    <w:p>
      <w:pPr>
        <w:ind w:left="780"/>
      </w:pPr>
      <w:r>
        <w:t xml:space="preserve">b) des Absatzes 1 Satz 1 Nummer 3 oder des Artikels 18 Absatz 1 der Verordnung (EG) Nr. 396/2005</w:t>
      </w:r>
    </w:p>
    <w:p>
      <w:pPr>
        <w:ind w:left="420"/>
      </w:pPr>
      <w:r>
        <w:t xml:space="preserve">zuzulassen.</w:t>
      </w:r>
    </w:p>
    <w:p>
      <w:r>
        <w:rPr>
          <w:color w:val="555555"/>
          <w:sz w:val="17"/>
        </w:rPr>
        <w:t xml:space="preserve">Zitiervorschlag: § 9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