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LFGB — Bestrahlungsverbot und Zulassungsermächtigung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Es ist verboten,</w:t>
      </w:r>
    </w:p>
    <w:p>
      <w:pPr>
        <w:ind w:left="420"/>
      </w:pPr>
      <w:r>
        <w:t xml:space="preserve">1. bei Lebensmitteln eine Bestrahlung mit ultravioletten oder ionisierenden Strahlen anzuwenden, die nicht zugelassen ist</w:t>
      </w:r>
    </w:p>
    <w:p>
      <w:pPr>
        <w:ind w:left="780"/>
      </w:pPr>
      <w:r>
        <w:t xml:space="preserve">a) durch eine aufgrund dieses Gesetzes erlassene Rechtsverordnung, oder</w:t>
      </w:r>
    </w:p>
    <w:p>
      <w:pPr>
        <w:ind w:left="780"/>
      </w:pPr>
      <w:r>
        <w:t xml:space="preserve">b) durch unmittelbar geltende Rechtsvorschriften der Europäischen Gemeinschaft oder der Europäischen Union, insbesondere durch die Verordnung (EU) 2015/2283 des Europäischen Parlaments und des Rates vom 25. November 2015 über neuartige Lebensmittel, zur Änderung der Verordnung (EU) Nr. 1169/2011 des Europäischen Parlaments und des Rates und zur Aufhebung der Verordnung (EG) Nr. 258/97 des Europäischen Parlaments und des Rates und der Verordnung (EG) Nr. 1852/2001 der Kommission (ABl. L 327 vom 11.12.2015, S. 1), die durch die Verordnung (EU) 2019/1381 (ABl. L 231 vom 6.9.2019, S. 1) geändert worden ist, in Verbindung mit der Durchführungsverordnung (EU) 2017/2470 der Kommission vom 20. Dezember 2017 zur Erstellung der Unionsliste der neuartigen Lebensmittel gemäß der Verordnung (EU) 2015/2283 des Europäischen Parlaments und des Rates über neuartige Lebensmittel (ABl. L 351 vom 30.12.2017, S. 72), die zuletzt durch die Durchführungsverordnung (EU) 2020/1163 (ABl. L 258 vom 7.8.2020, S. 1) geändert worden ist, in der jeweils geltenden Fassung,</w:t>
      </w:r>
    </w:p>
    <w:p>
      <w:pPr>
        <w:ind w:left="420"/>
      </w:pPr>
      <w:r>
        <w:t xml:space="preserve">2. Lebensmittel in den Verkehr zu bringen, die entgegen dem Verbot der Nummer 1 bestrahlt sind.</w:t>
      </w:r>
    </w:p>
    <w:p>
      <w:r>
        <w:t xml:space="preserve">(2) Das Bundesministerium wird ermächtigt, im Einvernehmen mit den Bundesministerien für Bildung und Forschung und für Umwelt, Naturschutz und nukleare Sicherheit durch Rechtsverordnung mit Zustimmung des Bundesrates,</w:t>
      </w:r>
    </w:p>
    <w:p>
      <w:pPr>
        <w:ind w:left="420"/>
      </w:pPr>
      <w:r>
        <w:t xml:space="preserve">1. soweit es mit den Zwecken des § 1 Absatz 1 Nummer 1 oder 2, jeweils auch in Verbindung mit § 1 Absatz 3, vereinbar ist, eine solche Bestrahlung allgemein oder für bestimmte Lebensmittel oder für bestimmte Verwendungszwecke zuzulassen,</w:t>
      </w:r>
    </w:p>
    <w:p>
      <w:pPr>
        <w:ind w:left="420"/>
      </w:pPr>
      <w:r>
        <w:t xml:space="preserve">2. soweit es zur Erfüllung der in § 1 Absatz 1 Nummer 1 oder 2, jeweils auch in Verbindung mit § 1 Absatz 3, genannten Zwecke erforderlich ist, bestimmte technische Verfahren für zugelassene Bestrahlungen vorzuschreiben.</w:t>
      </w:r>
    </w:p>
    <w:p>
      <w:r>
        <w:rPr>
          <w:color w:val="555555"/>
          <w:sz w:val="17"/>
        </w:rPr>
        <w:t xml:space="preserve">Zitiervorschlag: § 8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