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LFGB — Ermächtigungen zum Schutz der Gesundheit und vor Täuschung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im Einvernehmen mit dem Bundesministerium für Wirtschaft und Energie durch Rechtsverordnung mit Zustimmung des Bundesrates, soweit es zur Erfüllung der in § 1 Absatz 1 Nummer 1 oder 2, jeweils auch in Verbindung mit § 1 Absatz 3, genannten Zwecke erforderlich ist,</w:t>
      </w:r>
    </w:p>
    <w:p>
      <w:pPr>
        <w:ind w:left="420"/>
      </w:pPr>
      <w:r>
        <w:t xml:space="preserve">1. im Rahmen des Artikels 20 in Verbindung mit Anhang IV der Verordnung (EG) Nr. 1333/2008 des Europäischen Parlaments und des Rates vom 16. Dezember 2008 über Lebensmittelzusatzstoffe (ABl. L 354 vom 31.12.2008, S. 16; L 105 vom 27.4.2010, S. 114; L 322 vom 21.11.2012, S. 8; L 123 vom 19.5.2015, S. 122), die zuletzt durch die Verordnung (EU) 2020/771 (ABl. L 184 vom 12.6.2020, S. 25) geändert worden ist, oder</w:t>
      </w:r>
    </w:p>
    <w:p>
      <w:pPr>
        <w:ind w:left="420"/>
      </w:pPr>
      <w:r>
        <w:t xml:space="preserve">2. soweit es zur Umsetzung oder Durchführung von Rechtsakten der Europäischen Gemeinschaft oder der Europäischen Union im Anwendungsbereich dieses Gesetzes erforderlich ist,</w:t>
      </w:r>
    </w:p>
    <w:p>
      <w:r>
        <w:t xml:space="preserve">beim Herstellen oder Behandeln von bestimmten Lebensmitteln die Verwendung von Lebensmittelzusatzstoffen oder Verarbeitungshilfsstoffen zu verbieten oder zu beschränken.</w:t>
      </w:r>
    </w:p>
    <w:p>
      <w:r>
        <w:t xml:space="preserve">(2) Das Bundesministerium wird ferner ermächtigt, im Einvernehmen mit dem Bundesministerium für Wirtschaft und Energie durch Rechtsverordnung mit Zustimmung des Bundesrates, soweit es insbesondere unter Berücksichtigung ernährungsphysiologischer Erfordernisse zur Erfüllung der in § 1 Absatz 1 Nummer 1 oder 2, jeweils auch in Verbindung mit § 1 Absatz 3, genannten Zwecke erforderlich ist,</w:t>
      </w:r>
    </w:p>
    <w:p>
      <w:pPr>
        <w:ind w:left="420"/>
      </w:pPr>
      <w:r>
        <w:t xml:space="preserve">1. beim Herstellen oder Behandeln von Lebensmitteln den Zusatz von bestimmten Vitaminen, Mineralstoffen, Aminosäuren und deren Derivaten sowie anderen Stoffen mit ernährungsbezogener oder physiologischer Wirkung zu verbieten oder zu beschränken,</w:t>
      </w:r>
    </w:p>
    <w:p>
      <w:pPr>
        <w:ind w:left="420"/>
      </w:pPr>
      <w:r>
        <w:t xml:space="preserve">2. Höchstmengen oder Mindestmengen für den Gehalt an in Nummer 1 genannten Stoffen in Lebensmitteln und Reinheitsanforderungen für in Nummer 1 genannte Stoffe festzusetzen.</w:t>
      </w:r>
    </w:p>
    <w:p>
      <w:r>
        <w:t xml:space="preserve">(3) Lebensmittel, die einer nach Absatz 1 oder Absatz 2 erlassenen Rechtsverordnung nicht entsprechen, dürfen nicht in den Verkehr gebracht werden.</w:t>
      </w:r>
    </w:p>
    <w:p>
      <w:r>
        <w:rPr>
          <w:color w:val="555555"/>
          <w:sz w:val="17"/>
        </w:rPr>
        <w:t xml:space="preserve">Zitiervorschlag: § 7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