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LFGB — Zulassung weiterer Ausnahmen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Die nach Landesrecht zuständige Behörde kann im Einzelfall</w:t>
      </w:r>
    </w:p>
    <w:p>
      <w:pPr>
        <w:ind w:left="420"/>
      </w:pPr>
      <w:r>
        <w:t xml:space="preserve">1. zeitlich befristete Ausnahmen von § 21 Absatz 1 und 2 und den durch Rechtsverordnung nach § 23a Nummer 8 und 9 erlassenen Vorschriften für entsprechend gekennzeichnete Futtermittel zu Forschungs- und Untersuchungszwecken zulassen, wenn das Vorhaben unter wissenschaftlicher Leitung oder Aufsicht steht; sie unterrichtet das Bundesministerium von den getroffenen Maßnahmen,</w:t>
      </w:r>
    </w:p>
    <w:p>
      <w:pPr>
        <w:ind w:left="420"/>
      </w:pPr>
      <w:r>
        <w:t xml:space="preserve">2. zeitlich befristete Ausnahmen von § 21 Absatz 2 und den für Futtermittel nach § 35 Nummer 1 und 2 Buchstabe a erlassenen Rechtsverordnungen zulassen, soweit besondere Umstände, insbesondere Naturereignisse oder Unfälle, dies zur Vermeidung unbilliger Härten geboten erscheinen lassen und es mit den in § 1 genannten Zwecken vereinbar ist; sie sorgt für eine entsprechende Kennzeichnung und unterrichtet das Bundesministerium von den getroffenen Maßnahmen,</w:t>
      </w:r>
    </w:p>
    <w:p>
      <w:pPr>
        <w:ind w:left="420"/>
      </w:pPr>
      <w:r>
        <w:t xml:space="preserve">3. Ausnahmen von § 53 Absatz 1 Satz 1 hinsichtlich Futtermitteln zur Fütterung von Tieren, die zur Teilnahme an Tierschauen oder ähnlichen Veranstaltungen aus einem Drittland in die Europäische Union verbracht worden sind, sowie für Forschungs- und Untersuchungszwecke zulassen,</w:t>
      </w:r>
    </w:p>
    <w:p>
      <w:pPr>
        <w:ind w:left="420"/>
      </w:pPr>
      <w:r>
        <w:t xml:space="preserve">4. Ausnahmen von den Vorschriften der Verordnung (EG) Nr. 767/2009 nach Maßgabe des Artikels 21 Absatz 8 der Verordnung (EG) Nr. 767/2009 zulassen; sie unterrichtet unverzüglich das Bundesministerium von den getroffenen Maßnahmen.</w:t>
      </w:r>
    </w:p>
    <w:p>
      <w:r>
        <w:t xml:space="preserve">Die nach Landesrecht zuständige Behörde kann darüber hinaus</w:t>
      </w:r>
    </w:p>
    <w:p>
      <w:pPr>
        <w:ind w:left="420"/>
      </w:pPr>
      <w:r>
        <w:t xml:space="preserve">1. Stoffe als Futtermittelzusatzstoffe nach Maßgabe des Artikels 3 der Verordnung (EG) Nr. 1831/2003 in der jeweils geltenden Fassung,</w:t>
      </w:r>
    </w:p>
    <w:p>
      <w:pPr>
        <w:ind w:left="420"/>
      </w:pPr>
      <w:r>
        <w:t xml:space="preserve">2. in den Fällen der Nummer 1 Ausnahmen von § 21 Absatz 3 Satz 1</w:t>
      </w:r>
    </w:p>
    <w:p>
      <w:r>
        <w:t xml:space="preserve">zulassen.</w:t>
      </w:r>
    </w:p>
    <w:p>
      <w:r>
        <w:rPr>
          <w:color w:val="555555"/>
          <w:sz w:val="17"/>
        </w:rPr>
        <w:t xml:space="preserve">Zitiervorschlag: § 69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