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LFGB — Statistik</w:t>
      </w:r>
    </w:p>
    <w:p>
      <w:r>
        <w:rPr>
          <w:color w:val="555555"/>
          <w:sz w:val="18"/>
        </w:rPr>
        <w:t xml:space="preserve">Lebensmittel- und Futtermittelgesetzbuch</w:t>
      </w:r>
    </w:p>
    <w:p>
      <w:r>
        <w:rPr>
          <w:color w:val="555555"/>
          <w:sz w:val="18"/>
        </w:rPr>
        <w:t xml:space="preserve">Stand: 07.11.2021 (konsolidierte Textfassung, kein amtliches Inkrafttretensdatum)</w:t>
      </w:r>
    </w:p>
    <w:p>
      <w:r>
        <w:t xml:space="preserve">(1) Über die Schlachttier- und Fleischuntersuchung und deren Ergebnis ist eine Statistik zu führen, die vom Statistischen Bundesamt zu erheben und aufzubereiten ist.</w:t>
      </w:r>
    </w:p>
    <w:p>
      <w:r>
        <w:t xml:space="preserve">(2) Das Bundesministerium wird ermächtigt, durch Rechtsverordnung mit Zustimmung des Bundesrates zur Erlangung einer umfassenden Übersicht</w:t>
      </w:r>
    </w:p>
    <w:p>
      <w:pPr>
        <w:ind w:left="420"/>
      </w:pPr>
      <w:r>
        <w:t xml:space="preserve">1. das Nähere über Art und Inhalt der Statistik nach Absatz 1 zu regeln,</w:t>
      </w:r>
    </w:p>
    <w:p>
      <w:pPr>
        <w:ind w:left="420"/>
      </w:pPr>
      <w:r>
        <w:t xml:space="preserve">2. Meldungen über die Ergebnisse bestimmter Untersuchungen vorzuschreiben; auskunftspflichtig sind die zuständigen Behörden.</w:t>
      </w:r>
    </w:p>
    <w:p>
      <w:r>
        <w:rPr>
          <w:color w:val="555555"/>
          <w:sz w:val="17"/>
        </w:rPr>
        <w:t xml:space="preserve">Zitiervorschlag: § 66 LFGB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https://recht.nulegal.eu/gesetze/LFGB/66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