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LFGB — Amtliche Sammlung von Untersuchungsverfahren; Bekanntmachungen</w:t>
      </w:r>
    </w:p>
    <w:p>
      <w:r>
        <w:rPr>
          <w:color w:val="555555"/>
          <w:sz w:val="18"/>
        </w:rPr>
        <w:t xml:space="preserve">Lebensmittel- und Futtermittelgesetzbuch</w:t>
      </w:r>
    </w:p>
    <w:p>
      <w:r>
        <w:rPr>
          <w:color w:val="555555"/>
          <w:sz w:val="18"/>
        </w:rPr>
        <w:t xml:space="preserve">Stand: 14.03.2026 (konsolidierte Textfassung, kein amtliches Inkrafttretensdatum)</w:t>
      </w:r>
    </w:p>
    <w:p>
      <w:r>
        <w:t xml:space="preserve">(1) Das Bundesamt für Verbraucherschutz und Lebensmittelsicherheit veröffentlicht eine amtliche Sammlung von Verfahren zur Probenahme und Untersuchung von den in § 2 Absatz 1 genannten Erzeugnissen mit Ausnahme von Futtermitteln. Die Verfahren werden unter Mitwirkung von Sachkennern aus den Bereichen der Überwachung, der Wissenschaft und der beteiligten Wirtschaft festgelegt. Die Sammlung ist laufend auf dem neuesten Stand zu halten.</w:t>
      </w:r>
    </w:p>
    <w:p>
      <w:r>
        <w:t xml:space="preserve">(2) Das Bundesamt für Verbraucherschutz und Lebensmittelsicherheit veröffentlicht eine amtliche Sammlung von Verfahren zur Probenahme und von Analysemethoden für die Untersuchung von Futtermitteln. Vor deren Veröffentlichung soll ein jeweils auszuwählender Kreis von Vertretern der Wissenschaft, der Fütterungsberatung, der Futtermitteluntersuchung, der Futtermittelüberwachung, der Landwirtschaft und der sonst beteiligten Wirtschaft angehört werden.</w:t>
      </w:r>
    </w:p>
    <w:p>
      <w:r>
        <w:t xml:space="preserve">(3) Zulassungen, Registrierungen, Genehmigungen und Anzeigen werden vom Bundesamt für Verbraucherschutz und Lebensmittelsicherheit im Bundesanzeiger bekannt gemacht, soweit dies durch dieses Gesetz oder eine aufgrund dieses Gesetzes erlassene Rechtsverordnung bestimmt ist.</w:t>
      </w:r>
    </w:p>
    <w:p>
      <w:r>
        <w:rPr>
          <w:color w:val="555555"/>
          <w:sz w:val="17"/>
        </w:rPr>
        <w:t xml:space="preserve">Zitiervorschlag: § 64 LFGB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https://recht.nulegal.eu/gesetze/LFGB/64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