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LFGB — Einziehung</w:t>
      </w:r>
    </w:p>
    <w:p>
      <w:r>
        <w:rPr>
          <w:color w:val="555555"/>
          <w:sz w:val="18"/>
        </w:rPr>
        <w:t xml:space="preserve">Lebensmittel- und Futtermittelgesetzbuch</w:t>
      </w:r>
    </w:p>
    <w:p>
      <w:r>
        <w:rPr>
          <w:color w:val="555555"/>
          <w:sz w:val="18"/>
        </w:rPr>
        <w:t xml:space="preserve">Stand: 07.11.2021 (konsolidierte Textfassung, kein amtliches Inkrafttretensdatum)</w:t>
      </w:r>
    </w:p>
    <w:p>
      <w:r>
        <w:t xml:space="preserve">Gegenstände, auf die sich eine Straftat nach § 58 oder § 59 oder eine Ordnungswidrigkeit nach § 60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61 LFGB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https://recht.nulegal.eu/gesetze/LFGB/61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