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LFGB — Strafvorschriften</w:t>
      </w:r>
    </w:p>
    <w:p>
      <w:r>
        <w:rPr>
          <w:color w:val="555555"/>
          <w:sz w:val="18"/>
        </w:rPr>
        <w:t xml:space="preserve">Lebensmittel- und Futtermittelgesetzbuch</w:t>
      </w:r>
    </w:p>
    <w:p>
      <w:r>
        <w:rPr>
          <w:color w:val="555555"/>
          <w:sz w:val="18"/>
        </w:rPr>
        <w:t xml:space="preserve">Stand: 14.03.2026 (konsolidierte Textfassung, kein amtliches Inkrafttretensdatum)</w:t>
      </w:r>
    </w:p>
    <w:p>
      <w:r>
        <w:t xml:space="preserve">(1) Mit Freiheitsstrafe bis zu drei Jahren oder mit Geldstrafe wird bestraft, wer</w:t>
      </w:r>
    </w:p>
    <w:p>
      <w:pPr>
        <w:ind w:left="420"/>
      </w:pPr>
      <w:r>
        <w:t xml:space="preserve">1. entgegen § 5 Absatz 1 Satz 1 ein Lebensmittel herstellt oder behandelt,</w:t>
      </w:r>
    </w:p>
    <w:p>
      <w:pPr>
        <w:ind w:left="420"/>
      </w:pPr>
      <w:r>
        <w:t xml:space="preserve">2. entgegen § 5 Absatz 2 einen Stoff als Lebensmittel in den Verkehr bringt,</w:t>
      </w:r>
    </w:p>
    <w:p>
      <w:pPr>
        <w:ind w:left="420"/>
      </w:pPr>
      <w:r>
        <w:t xml:space="preserve">3. (weggefallen)</w:t>
      </w:r>
    </w:p>
    <w:p>
      <w:pPr>
        <w:ind w:left="420"/>
      </w:pPr>
      <w:r>
        <w:t xml:space="preserve">4. entgegen § 10 Absatz 1 Satz 1, auch in Verbindung mit einer Rechtsverordnung nach § 10 Absatz 4 Nummer 2, oder entgegen § 10 Absatz 3 Nummer 3 ein Lebensmittel in den Verkehr bringt,</w:t>
      </w:r>
    </w:p>
    <w:p>
      <w:pPr>
        <w:ind w:left="420"/>
      </w:pPr>
      <w:r>
        <w:t xml:space="preserve">5. entgegen § 10 Absatz 2 ein Tier in den Verkehr bringt,</w:t>
      </w:r>
    </w:p>
    <w:p>
      <w:pPr>
        <w:ind w:left="420"/>
      </w:pPr>
      <w:r>
        <w:t xml:space="preserve">5a. entgegen § 10 Absatz 3 Nummer 1 ein Tier zur Schlachtung abgibt,</w:t>
      </w:r>
    </w:p>
    <w:p>
      <w:pPr>
        <w:ind w:left="420"/>
      </w:pPr>
      <w:r>
        <w:t xml:space="preserve">6. entgegen § 10 Absatz 3 Nummer 2 Lebensmittel von einem Tier gewinnt,</w:t>
      </w:r>
    </w:p>
    <w:p>
      <w:pPr>
        <w:ind w:left="420"/>
      </w:pPr>
      <w:r>
        <w:t xml:space="preserve">7. entgegen § 13 Absatz 2 in Verbindung mit einer Rechtsverordnung nach Absatz 1 Nummer 1 ein Lebensmittel in den Verkehr bringt,</w:t>
      </w:r>
    </w:p>
    <w:p>
      <w:pPr>
        <w:ind w:left="420"/>
      </w:pPr>
      <w:r>
        <w:t xml:space="preserve">8. entgegen § 17 Absatz 1 Satz 1 Nummer 1 ein Futtermittel herstellt oder behandelt,</w:t>
      </w:r>
    </w:p>
    <w:p>
      <w:pPr>
        <w:ind w:left="420"/>
      </w:pPr>
      <w:r>
        <w:t xml:space="preserve">9. (weggefallen)</w:t>
      </w:r>
    </w:p>
    <w:p>
      <w:pPr>
        <w:ind w:left="420"/>
      </w:pPr>
      <w:r>
        <w:t xml:space="preserve">10. (weggefallen)</w:t>
      </w:r>
    </w:p>
    <w:p>
      <w:pPr>
        <w:ind w:left="420"/>
      </w:pPr>
      <w:r>
        <w:t xml:space="preserve">11. entgegen</w:t>
      </w:r>
    </w:p>
    <w:p>
      <w:pPr>
        <w:ind w:left="780"/>
      </w:pPr>
      <w:r>
        <w:t xml:space="preserve">a) § 26 Satz 1 Nummer 1 ein Mittel zum Tätowieren herstellt oder behandelt oder</w:t>
      </w:r>
    </w:p>
    <w:p>
      <w:pPr>
        <w:ind w:left="780"/>
      </w:pPr>
      <w:r>
        <w:t xml:space="preserve">b) § 26 Satz 1 Nummer 2 einen Stoff oder ein Gemisch aus Stoffen als Mittel zum Tätowieren in den Verkehr bringt,</w:t>
      </w:r>
    </w:p>
    <w:p>
      <w:pPr>
        <w:ind w:left="420"/>
      </w:pPr>
      <w:r>
        <w:t xml:space="preserve">12. entgegen § 28 Absatz 2 in Verbindung mit einer Rechtsverordnung nach § 28 Absatz 1 Nummer 2 oder § 32 Absatz 1 Nummer 1, 2 oder 3 ein dort genanntes Mittel in den Verkehr bringt,</w:t>
      </w:r>
    </w:p>
    <w:p>
      <w:pPr>
        <w:ind w:left="420"/>
      </w:pPr>
      <w:r>
        <w:t xml:space="preserve">13. entgegen § 30 Nummer 1 einen Bedarfsgegenstand herstellt oder behandelt,</w:t>
      </w:r>
    </w:p>
    <w:p>
      <w:pPr>
        <w:ind w:left="420"/>
      </w:pPr>
      <w:r>
        <w:t xml:space="preserve">14. entgegen § 30 Nummer 2 einen Gegenstand oder ein Mittel als Bedarfsgegenstand in den Verkehr bringt,</w:t>
      </w:r>
    </w:p>
    <w:p>
      <w:pPr>
        <w:ind w:left="420"/>
      </w:pPr>
      <w:r>
        <w:t xml:space="preserve">15. entgegen § 30 Nummer 3 einen Bedarfsgegenstand verwendet,</w:t>
      </w:r>
    </w:p>
    <w:p>
      <w:pPr>
        <w:ind w:left="420"/>
      </w:pPr>
      <w:r>
        <w:t xml:space="preserve">16. entgegen § 32 Absatz 2 in Verbindung mit einer Rechtsverordnung nach Absatz 1 Nummer 1, 2 oder 3 einen Bedarfsgegenstand in den Verkehr bringt,</w:t>
      </w:r>
    </w:p>
    <w:p>
      <w:pPr>
        <w:ind w:left="420"/>
      </w:pPr>
      <w:r>
        <w:t xml:space="preserve">17. einer vollziehbaren Anordnung nach § 39a Absatz 1 Satz 1, die der Durchführung eines in § 39a Absatz 3 bezeichneten Verbots oder Gebots dient, zuwiderhandelt oder</w:t>
      </w:r>
    </w:p>
    <w:p>
      <w:pPr>
        <w:ind w:left="420"/>
      </w:pPr>
      <w:r>
        <w:t xml:space="preserve">18. einer Rechtsverordnung nach § 10 Absatz 4 Nummer 1 Buchstabe b, d oder Buchstabe e, § 13 Absatz 1 Nummer 1 oder 2, § 22, § 32 Absatz 1 Nummer 1, 2 oder 3, jeweils auch in Verbindung mit § 28 Absatz 1 Nummer 2, oder § 34 Satz 1 Nummer 1 oder 2 oder einer vollziehbaren Anordnung aufgrund einer solchen Rechtsverordnung zuwiderhandelt, soweit die Rechtsverordnung für einen bestimmten Tatbestand auf diese Strafvorschrift verweist.</w:t>
      </w:r>
    </w:p>
    <w:p>
      <w:r>
        <w:t xml:space="preserve">(2) Ebenso wird bestraft, wer gegen die Verordnung (EG) Nr. 178/2002 des Europäischen Parlaments und des Rates vom 28. Januar 2002 zur Festlegung der allgemeinen Grundsätze und Anforderungen des Lebensmittelrechts, zur Errichtung der Europäischen Behörde für Lebensmittelsicherheit und zur Festlegung von Verfahren zur Lebensmittelsicherheit (ABl. L 31 vom 1.2.2002, S. 1), die zuletzt durch die Verordnung (EU) 2019/1381 (ABl. L 231 vom 6.9.2019, S. 1) geändert worden ist, verstößt, indem er</w:t>
      </w:r>
    </w:p>
    <w:p>
      <w:pPr>
        <w:ind w:left="420"/>
      </w:pPr>
      <w:r>
        <w:t xml:space="preserve">1. entgegen Artikel 14 Absatz 1 in Verbindung mit Absatz 2 Buchstabe a ein Lebensmittel in den Verkehr bringt oder</w:t>
      </w:r>
    </w:p>
    <w:p>
      <w:pPr>
        <w:ind w:left="420"/>
      </w:pPr>
      <w:r>
        <w:t xml:space="preserve">2. entgegen Artikel 15 Absatz 1 in Verbindung mit Absatz 2 Spiegelstrich 1, soweit sich dieser auf die Gesundheit des Menschen bezieht, jeweils auch in Verbindung mit Artikel 4 Absatz 1 Unterabsatz 2 der Verordnung (EG) Nr. 767/2009 des Europäischen Parlaments und des Rates vom 13. Juli 2009 über das Inverkehrbringen und die Verwendung von Futtermitteln, zur Änderung der Verordnung (EG) Nr. 1831/2003 des Europäischen Parlaments und des Rates und zur Aufhebung der Richtlinien 79/373/EWG des Rates, 80/511/EWG der Kommission, 82/471/EWG des Rates, 83/228/EWG des Rates, 93/74/EWG des Rates, 93/113/EG des Rates und 96/25/EG des Rates und der Entscheidung 2004/217/EG der Kommission (ABl. L 229 vom 1.9.2009, S. 1; L 192 vom 22.7.2011, S. 71; L 296 vom 15.11.2019, S. 64), die zuletzt durch die Verordnung (EU) 2018/1903 (ABl. L 310 vom 6.12.2018, S. 22) geändert worden ist, ein Futtermittel in den Verkehr bringt oder verfüttert.</w:t>
      </w:r>
    </w:p>
    <w:p>
      <w:r>
        <w:t xml:space="preserve">(2a) Ebenso wird bestraft, wer</w:t>
      </w:r>
    </w:p>
    <w:p>
      <w:pPr>
        <w:ind w:left="420"/>
      </w:pPr>
      <w:r>
        <w:t xml:space="preserve">1. gegen die Verordnung (EG) Nr. 1334/2008 des Europäischen Parlaments und des Rates vom 16. Dezember 2008 über Aromen und bestimmte Lebensmittelzutaten mit Aromaeigenschaften zur Verwendung in und auf Lebensmitteln sowie zur Änderung der Verordnung (EWG) Nr. 1601/91 des Rates, der Verordnungen (EG) Nr. 2232/96 und (EG) Nr. 110/2008 und der Richtlinie 2000/13/EG (ABl. L 354 vom 31.12.2008, S. 34; L 105 vom 27.4.2010, S. 115), die zuletzt durch die Verordnung (EU) 2019/799 (ABl. L 132 vom 20.5.2019, S. 12) geändert worden ist, verstößt, indem er</w:t>
      </w:r>
    </w:p>
    <w:p>
      <w:pPr>
        <w:ind w:left="780"/>
      </w:pPr>
      <w:r>
        <w:t xml:space="preserve">a) entgegen Artikel 5 in Verbindung mit Anhang III oder Anhang IV ein Aroma oder ein Lebensmittel in den Verkehr bringt,</w:t>
      </w:r>
    </w:p>
    <w:p>
      <w:pPr>
        <w:ind w:left="780"/>
      </w:pPr>
      <w:r>
        <w:t xml:space="preserve">b) entgegen Artikel 6 Absatz 1 einen dort bezeichneten Stoff zusetzt,</w:t>
      </w:r>
    </w:p>
    <w:p>
      <w:pPr>
        <w:ind w:left="780"/>
      </w:pPr>
      <w:r>
        <w:t xml:space="preserve">c) entgegen Artikel 7 einen Ausgangsstoff, ein Aroma oder eine Lebensmittelzutat verwendet,</w:t>
      </w:r>
    </w:p>
    <w:p>
      <w:pPr>
        <w:ind w:left="420"/>
      </w:pPr>
      <w:r>
        <w:t xml:space="preserve">2. entgegen Artikel 5 Absatz 1 in Verbindung mit Artikel 3 Satz 1 Buchstabe a, b oder c der Verordnung (EG) Nr. 1223/2009 des Europäischen Parlaments und des Rates vom 30. November 2009 über kosmetische Mittel (ABl. L 342 vom 22.12.2009, S. 59; L 318 vom 15.11.2012, S. 74; L 72 vom 15.3.2013, S. 16; L 142 vom 29.5.2013, S. 10; L 254 vom 28.8.2014, S. 39; L 17 vom 21.1.2017, S. 52; L 326 vom 9.12.2017, S. 55; L 183 vom 19.7.2018, S. 27; L 324 vom 13.12.2019, S. 80; L 76 vom 12.3.2020, S. 36), die zuletzt durch die Verordnung (EU) 2019/1966 (ABl. L 307 vom 28.11.2019, S. 15) geändert worden ist, nicht dafür sorgt, dass ein auf dem Markt bereitgestelltes kosmetisches Mittel für die menschliche Gesundheit sicher ist,</w:t>
      </w:r>
    </w:p>
    <w:p>
      <w:pPr>
        <w:ind w:left="420"/>
      </w:pPr>
      <w:r>
        <w:t xml:space="preserve">3. gegen die Verordnung (EU) Nr. 10/2011 der Kommission vom 14. Januar 2011 über Materialien und Gegenstände aus Kunststoff, die dazu bestimmt sind, mit Lebensmitteln in Berührung zu kommen (ABl. L 12 vom 15.1.2011, S. 1, L 278 vom 25.10.2011, S. 13), die zuletzt durch die Verordnung (EU) 2019/1338 (ABl. L 209 vom 9.8.2019, S. 5) geändert worden ist, verstößt, indem er</w:t>
      </w:r>
    </w:p>
    <w:p>
      <w:pPr>
        <w:ind w:left="780"/>
      </w:pPr>
      <w:r>
        <w:t xml:space="preserve">a) entgegen Artikel 4 Buchstabe e in Verbindung mit Artikel 5 Absatz 1 oder Artikel 9 Absatz 1 Buchstabe c, jeweils auch in Verbindung mit Artikel 13 Absatz 1 oder Artikel 14 Absatz 1, ein Material oder einen Gegenstand aus Kunststoff in Verkehr bringt oder</w:t>
      </w:r>
    </w:p>
    <w:p>
      <w:pPr>
        <w:ind w:left="780"/>
      </w:pPr>
      <w:r>
        <w:t xml:space="preserve">b) entgegen Artikel 5 Absatz 1 in Verbindung mit Artikel 13 Absatz 1 oder Artikel 14 Absatz 1 bei der Herstellung einer Kunststoffschicht in einem Material oder einem Gegenstand aus Kunststoff einen nicht zugelassenen Stoff verwendet oder</w:t>
      </w:r>
    </w:p>
    <w:p>
      <w:pPr>
        <w:ind w:left="420"/>
      </w:pPr>
      <w:r>
        <w:t xml:space="preserve">4. einer vollziehbaren Anordnung nach Artikel 138 Absatz 2 der Verordnung (EU) 2017/625 des Europäischen Parlaments und des Rates vom 15. März 2017 über amtliche Kontrollen und andere amtliche Tätigkeiten zur Gewährleistung der Anwendung des Lebens-und Futtermittelrechts und der Vorschriften über Tiergesundheit und Tierschutz, Pflanzengesundheit und Pflanzenschutzmittel, zur Änderung der Verordnungen (EG) Nr. 999/2001, (EG) Nr. 396/2005, (EG) Nr. 1069/2009, (EG) Nr. 1107/2009, (EU) Nr. 1151/2012, (EU) Nr. 652/2014, (EU) 2016/429 und (EU) 2016/2031 des Europäischen Parlaments und des Rates, der Verordnungen (EG) Nr. 1/2005 und (EG) Nr. 1099/2009 des Rates sowie der Richtlinien 98/58/EG, 1999/74/EG, 2007/43/EG, 2008/119/EG und 2008/120/EG des Rates und zur Aufhebung der Verordnungen (EG) Nr. 854/2004 und (EG) Nr. 882/2004 des Europäischen Parlaments und des Rates, der Richtlinien 89/608/EWG, 89/662/EWG, 90/425/EWG, 91/496/EEG, 96/23/EG, 96/93/EG und 97/78/EG des Rates und des Beschlusses 92/438/EWG des Rates (Verordnung über amtliche Kontrollen) (ABl. L 95 vom 7.4.2017, S. 1; L 137 vom 24.5.2017, S. 40; L 48 vom 21.2.2018, S. 44; L 322 vom 18.12.2018, S. 85; L 126 vom 15.5.2019, S. 73), die durch die Delegierte Verordnung (EU) 2019/2127 (ABl. L 321 vom 12.12.2019, S. 111) geändert worden ist, die der Durchführung eines in § 39 Absatz 7 bezeichneten Verbots dient, zuwiderhandelt.</w:t>
      </w:r>
    </w:p>
    <w:p>
      <w:r>
        <w:t xml:space="preserve">(3) Ebenso wird bestraft, wer</w:t>
      </w:r>
    </w:p>
    <w:p>
      <w:pPr>
        <w:ind w:left="420"/>
      </w:pPr>
      <w:r>
        <w:t xml:space="preserve">1. einer unmittelbar geltenden Vorschrift in Rechtsakten der Europäischen Gemeinschaft oder der Europäischen Union zuwiderhandelt, die inhaltlich einem in Absatz 1 Nummer 1 bis 17 genannten Gebot oder Verbot entspricht, soweit eine Rechtsverordnung nach § 62 Absatz 1 Nummer 1 für einen bestimmten Tatbestand auf diese Strafvorschrift verweist oder</w:t>
      </w:r>
    </w:p>
    <w:p>
      <w:pPr>
        <w:ind w:left="420"/>
      </w:pPr>
      <w:r>
        <w:t xml:space="preserve">2. einer anderen als in Absatz 2 oder 2a genannten unmittelbar geltenden Vorschrift in Rechtsakten der Europäischen Gemeinschaft oder der Europäischen Union zuwiderhandelt, die inhaltlich einer Regelung entspricht, zu der die in Absatz 1 Nummer 18 genannten Vorschriften ermächtigen, soweit eine Rechtsverordnung nach § 62 Absatz 1 Nummer 1 für einen bestimmten Straftatbestand auf diese Strafvorschrift verweist.</w:t>
      </w:r>
    </w:p>
    <w:p>
      <w:r>
        <w:t xml:space="preserve">(4) Der Versuch ist strafbar.</w:t>
      </w:r>
    </w:p>
    <w:p>
      <w:r>
        <w:t xml:space="preserve">(5) In besonders schweren Fällen ist die Strafe Freiheitsstrafe von sechs Monaten bis zu fünf Jahren. Ein besonders schwerer Fall liegt in der Regel vor, wenn der Täter durch eine der in Absatz 1, 2, 2a oder 3 bezeichneten Handlungen</w:t>
      </w:r>
    </w:p>
    <w:p>
      <w:pPr>
        <w:ind w:left="420"/>
      </w:pPr>
      <w:r>
        <w:t xml:space="preserve">1. die Gesundheit einer großen Zahl von Menschen gefährdet,</w:t>
      </w:r>
    </w:p>
    <w:p>
      <w:pPr>
        <w:ind w:left="420"/>
      </w:pPr>
      <w:r>
        <w:t xml:space="preserve">2. einen anderen in die Gefahr des Todes oder einer schweren Schädigung an Körper oder Gesundheit bringt oder</w:t>
      </w:r>
    </w:p>
    <w:p>
      <w:pPr>
        <w:ind w:left="420"/>
      </w:pPr>
      <w:r>
        <w:t xml:space="preserve">3. aus grobem Eigennutz für sich oder einen anderen Vermögensvorteile großen Ausmaßes erlangt.</w:t>
      </w:r>
    </w:p>
    <w:p>
      <w:r>
        <w:t xml:space="preserve">(6) Wer eine der in Absatz 1, 2, 2a oder 3 bezeichneten Handlungen fahrlässig begeht, wird mit Freiheitsstrafe bis zu einem Jahr oder mit Geldstrafe bestraft.</w:t>
      </w:r>
    </w:p>
    <w:p>
      <w:r>
        <w:rPr>
          <w:color w:val="555555"/>
          <w:sz w:val="17"/>
        </w:rPr>
        <w:t xml:space="preserve">Zitiervorschlag: § 58 LFGB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https://recht.nulegal.eu/gesetze/LFGB/58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