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57a LFGB — Ermächtigungen zum Schutz der Gesundheit vor ionisierender Strahlung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(1) Das Bundesministerium wird ermächtigt, soweit es zur Erfüllung der in § 1 Absatz 4 Nummer 1, auch in Verbindung mit § 1 Absatz 4 Nummer 2, genannten Zwecke erforderlich ist, zur Einhaltung von nach § 94 Absatz 2 Nummer 3 des Strahlenschutzgesetzes bestimmten Kontaminationswerten durch Rechtsverordnung mit Zustimmung des Bundesrates Folgendes zu verbieten oder zu beschränken:</w:t>
      </w:r>
    </w:p>
    <w:p>
      <w:pPr>
        <w:ind w:left="420"/>
      </w:pPr>
      <w:r>
        <w:t xml:space="preserve">1. das Inverkehrbringen von Lebensmitteln, Bedarfsgegenständen, Mitteln zum Tätowieren und kosmetischen Mitteln,</w:t>
      </w:r>
    </w:p>
    <w:p>
      <w:pPr>
        <w:ind w:left="420"/>
      </w:pPr>
      <w:r>
        <w:t xml:space="preserve">2. das Verfüttern oder Inverkehrbringen von Futtermitteln,</w:t>
      </w:r>
    </w:p>
    <w:p>
      <w:pPr>
        <w:ind w:left="420"/>
      </w:pPr>
      <w:r>
        <w:t xml:space="preserve">3. das Verbringen von Erzeugnissen in den, durch den oder aus dem Geltungsbereich dieses Gesetzes.</w:t>
      </w:r>
    </w:p>
    <w:p>
      <w:r>
        <w:t xml:space="preserve">(2) Rechtsverordnungen nach Absatz 1 bedürfen des Einvernehmens mit den Bundesministerien für Umwelt, Naturschutz und nukleare Sicherheit und für Wirtschaft und Energie.</w:t>
      </w:r>
    </w:p>
    <w:p>
      <w:r>
        <w:t xml:space="preserve">(3) Bei Eilbedürftigkeit nach Eintritt eines Notfalls nach § 5 Absatz 26 des Strahlenschutzgesetzes können Rechtsverordnungen nach Absatz 1 ohne Zustimmung des Bundesrates und ohne das Einvernehmen mit den zu beteiligenden Bundesministerien erlassen werden; sie treten spätestens sechs Monate nach ihrem Inkrafttreten außer Kraft. Ihre Geltungsdauer kann durch Rechtsverordnung mit Zustimmung des Bundesrates und im Einvernehmen mit den zu beteiligenden Bundesministerien verlängert werden.</w:t>
      </w:r>
    </w:p>
    <w:p>
      <w:r>
        <w:rPr>
          <w:color w:val="555555"/>
          <w:sz w:val="17"/>
        </w:rPr>
        <w:t xml:space="preserve">Zitiervorschlag: § 57a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https://recht.nulegal.eu/gesetze/LFGB/57a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