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LFGB — Ermächtigungen</w:t>
      </w:r>
    </w:p>
    <w:p>
      <w:r>
        <w:rPr>
          <w:color w:val="555555"/>
          <w:sz w:val="18"/>
        </w:rPr>
        <w:t xml:space="preserve">Lebensmittel- und Futtermittelgesetzbuch</w:t>
      </w:r>
    </w:p>
    <w:p>
      <w:r>
        <w:rPr>
          <w:color w:val="555555"/>
          <w:sz w:val="18"/>
        </w:rPr>
        <w:t xml:space="preserve">Stand: 14.03.2026 (konsolidierte Textfassung, kein amtliches Inkrafttretensdatum)</w:t>
      </w:r>
    </w:p>
    <w:p>
      <w:r>
        <w:t xml:space="preserve">(1) Das Bundesministerium wird ermächtigt, im Einvernehmen mit dem Bundesministerium der Finanzen durch Rechtsverordnung mit Zustimmung des Bundesrates, soweit es zur Erfüllung der in § 1 Absatz 1 Nummer 1 oder Nummer 4 oder Absatz 2, stets jeweils auch in Verbindung mit § 1 Absatz 3, genannten Zwecke erforderlich ist, das Verbringen von Erzeugnissen, einschließlich lebender Tiere im Sinne des § 4 Absatz 1 Nummer 1, in das Inland oder die Europäische Union, auch in ein Lagerhaus</w:t>
      </w:r>
    </w:p>
    <w:p>
      <w:pPr>
        <w:ind w:left="420"/>
      </w:pPr>
      <w:r>
        <w:t xml:space="preserve">1. auf Dauer oder vorübergehend zu verbieten oder zu beschränken,</w:t>
      </w:r>
    </w:p>
    <w:p>
      <w:pPr>
        <w:ind w:left="420"/>
      </w:pPr>
      <w:r>
        <w:t xml:space="preserve">2. abhängig zu machen von</w:t>
      </w:r>
    </w:p>
    <w:p>
      <w:pPr>
        <w:ind w:left="780"/>
      </w:pPr>
      <w:r>
        <w:t xml:space="preserve">a) der Tauglichkeit bestimmter Lebensmittel zum Genuss für den Menschen,</w:t>
      </w:r>
    </w:p>
    <w:p>
      <w:pPr>
        <w:ind w:left="780"/>
      </w:pPr>
      <w:r>
        <w:t xml:space="preserve">b) der Registrierung, Erlaubnis, Anerkennung, Zulassung oder Bekanntgabe von Betrieben oder Ländern, in denen die Erzeugnisse hergestellt oder behandelt werden, und die Einzelheiten dafür festzulegen,</w:t>
      </w:r>
    </w:p>
    <w:p>
      <w:pPr>
        <w:ind w:left="780"/>
      </w:pPr>
      <w:r>
        <w:t xml:space="preserve">c) einer Zulassung, einer Registrierung, einer Genehmigung oder einer Anzeige sowie die Voraussetzungen und das Verfahren für die Zulassung, die Registrierung, die Genehmigung und die Anzeige einschließlich des Ruhens der Zulassung, der Registrierung oder der Genehmigung zu regeln,</w:t>
      </w:r>
    </w:p>
    <w:p>
      <w:pPr>
        <w:ind w:left="780"/>
      </w:pPr>
      <w:r>
        <w:t xml:space="preserve">d) der Anmeldung oder Vorführung bei der zuständigen Behörde und die Einzelheiten dafür festzulegen,</w:t>
      </w:r>
    </w:p>
    <w:p>
      <w:pPr>
        <w:ind w:left="780"/>
      </w:pPr>
      <w:r>
        <w:t xml:space="preserve">e) einer Dokumentenprüfung, einer Nämlichkeitskontrolle oder einer Warenuntersuchung und deren Einzelheiten, insbesondere deren Häufigkeit und Verfahren, festzulegen sowie Vorschriften über die Beurteilung im Rahmen solcher Untersuchungen zu erlassen,</w:t>
      </w:r>
    </w:p>
    <w:p>
      <w:pPr>
        <w:ind w:left="780"/>
      </w:pPr>
      <w:r>
        <w:t xml:space="preserve">f) der Begleitung durch</w:t>
      </w:r>
    </w:p>
    <w:p>
      <w:pPr>
        <w:ind w:left="1140"/>
      </w:pPr>
      <w:r>
        <w:t xml:space="preserve">aa) eine Genusstauglichkeitsbescheinigung oder durch eine vergleichbare Urkunde oder durch Vorlage zusätzlicher Bescheinigungen sowie Inhalt, Form, Ausstellung und Bekanntgabe dieser Bescheinigungen oder Urkunde zu regeln,</w:t>
      </w:r>
    </w:p>
    <w:p>
      <w:pPr>
        <w:ind w:left="1140"/>
      </w:pPr>
      <w:r>
        <w:t xml:space="preserve">bb) Nachweise über die Art des Herstellens, der Zusammensetzung oder der Beschaffenheit sowie das Nähere über Art, Form und Inhalt der Nachweise, über das Verfahren ihrer Erteilung oder die Dauer ihrer Geltung und Aufbewahrung zu regeln,</w:t>
      </w:r>
    </w:p>
    <w:p>
      <w:pPr>
        <w:ind w:left="780"/>
      </w:pPr>
      <w:r>
        <w:t xml:space="preserve">g) einer Kennzeichnung, amtlichen Kennzeichnung oder amtlichen Anerkennung sowie Inhalt, Art und Weise und das Verfahren einer solchen Kennzeichnung, amtlichen Kennzeichnung oder amtlichen Anerkennung zu regeln,</w:t>
      </w:r>
    </w:p>
    <w:p>
      <w:pPr>
        <w:ind w:left="780"/>
      </w:pPr>
      <w:r>
        <w:t xml:space="preserve">h) der Beibringung eines amtlichen Untersuchungszeugnisses oder einer amtlichen Gesundheitsbescheinigung oder der Vorlage einer vergleichbaren Urkunde,</w:t>
      </w:r>
    </w:p>
    <w:p>
      <w:pPr>
        <w:ind w:left="780"/>
      </w:pPr>
      <w:r>
        <w:t xml:space="preserve">i) der Vorlage einer, auch amtlichen, oder der Begleitung durch eine, auch amtliche, Bescheinigung und deren Verwendung über Art, Umfang oder Ergebnis durchgeführter Überprüfungen und dabei das Nähere über Art, Form und Inhalt der Bescheinigung, über das Verfahren ihrer Erteilung oder die Dauer ihrer Geltung und Aufbewahrung zu regeln,</w:t>
      </w:r>
    </w:p>
    <w:p>
      <w:pPr>
        <w:ind w:left="780"/>
      </w:pPr>
      <w:r>
        <w:t xml:space="preserve">j) der Dauer einer Lagerung oder dem Verbot oder der Erlaubnis der zuständigen Behörde zur Beförderung zwischen zwei Lagerstätten sowie der Festlegung bestimmter Lagerungszeiten und von Mitteilungspflichten über deren Einhaltung sowie über den Verbleib der Erzeugnisse und dabei das Nähere über Art, Form und Inhalt der Mitteilungspflichten zu regeln.</w:t>
      </w:r>
    </w:p>
    <w:p>
      <w:r>
        <w:t xml:space="preserve">In Rechtsverordnungen nach Satz 1 kann vorgeschrieben werden, dass</w:t>
      </w:r>
    </w:p>
    <w:p>
      <w:pPr>
        <w:ind w:left="420"/>
      </w:pPr>
      <w:r>
        <w:t xml:space="preserve">1. die Dokumentenprüfung, die Nämlichkeitskontrolle sowie die Warenuntersuchung in oder bei einer Grenzkontrollstelle oder anderen Kontrollstelle oder von einer oder unter Mitwirkung einer Zolldienststelle,</w:t>
      </w:r>
    </w:p>
    <w:p>
      <w:pPr>
        <w:ind w:left="420"/>
      </w:pPr>
      <w:r>
        <w:t xml:space="preserve">2. die Anmeldung oder Vorführung in oder bei einer Grenzkontrollstelle oder anderen Kontrollstelle</w:t>
      </w:r>
    </w:p>
    <w:p>
      <w:r>
        <w:t xml:space="preserve">vorzunehmen sind. Soweit die Einhaltung von Rechtsverordnungen nach § 13 Absatz 5 Satz 1 betroffen ist, tritt an die Stelle des Bundesministeriums das Bundesministerium für Umwelt, Naturschutz und nukleare Sicherheit im Einvernehmen mit den in § 13 Absatz 5 Satz 2 genannten Bundesministerien.</w:t>
      </w:r>
    </w:p>
    <w:p>
      <w:r>
        <w:t xml:space="preserve">(2) Das Bundesministerium wird ferner ermächtigt, im Einvernehmen mit dem Bundesministerium der Finanzen durch Rechtsverordnung mit Zustimmung des Bundesrates, soweit es zur Erfüllung der in § 1 genannten Zwecke erforderlich ist,</w:t>
      </w:r>
    </w:p>
    <w:p>
      <w:pPr>
        <w:ind w:left="420"/>
      </w:pPr>
      <w:r>
        <w:t xml:space="preserve">1. Vorschriften zu erlassen über die zollamtliche Überwachung von Erzeugnissen oder deren Überwachung durch die zuständige Behörde bei dem Verbringen in das Inland,</w:t>
      </w:r>
    </w:p>
    <w:p>
      <w:pPr>
        <w:ind w:left="420"/>
      </w:pPr>
      <w:r>
        <w:t xml:space="preserve">2. Vorschriften zu erlassen über die Maßnahmen, die zu ergreifen sind, wenn zum Verbringen in das Inland bestimmte Erzeugnisse unmittelbar geltenden Rechtsakten der Europäischen Gemeinschaft oder der Europäischen Union, diesem Gesetz oder einer aufgrund dieses Gesetzes erlassenen Rechtsverordnung nicht entsprechen,</w:t>
      </w:r>
    </w:p>
    <w:p>
      <w:pPr>
        <w:ind w:left="420"/>
      </w:pPr>
      <w:r>
        <w:t xml:space="preserve">3. die Anforderungen an die Beförderung von Erzeugnissen bei dem Verbringen in das Inland zu regeln,</w:t>
      </w:r>
    </w:p>
    <w:p>
      <w:pPr>
        <w:ind w:left="420"/>
      </w:pPr>
      <w:r>
        <w:t xml:space="preserve">4. vorzuschreiben, dass Betriebe, die bestimmte Erzeugnisse in das Inland verbringen, bestimmte betriebseigene Kontrollen und Maßnahmen sowie Unterrichtungen oder Schulungen von Personen in der Lebensmittelhygiene durchzuführen und darüber Nachweise zu führen haben, sowie bestimmten Prüfungs- und Mitteilungspflichten unterliegen,</w:t>
      </w:r>
    </w:p>
    <w:p>
      <w:pPr>
        <w:ind w:left="420"/>
      </w:pPr>
      <w:r>
        <w:t xml:space="preserve">5. vorzuschreiben, dass über das Verbringen bestimmter Erzeugnisse in das Inland oder über</w:t>
      </w:r>
    </w:p>
    <w:p>
      <w:pPr>
        <w:ind w:left="780"/>
      </w:pPr>
      <w:r>
        <w:t xml:space="preserve">a) die Reinigung,</w:t>
      </w:r>
    </w:p>
    <w:p>
      <w:pPr>
        <w:ind w:left="780"/>
      </w:pPr>
      <w:r>
        <w:t xml:space="preserve">b) die Desinfektion oder</w:t>
      </w:r>
    </w:p>
    <w:p>
      <w:pPr>
        <w:ind w:left="780"/>
      </w:pPr>
      <w:r>
        <w:t xml:space="preserve">c) sonstige Behandlungsmaßnahmen im Hinblick auf die Einhaltung der hygienischen Anforderungen</w:t>
      </w:r>
    </w:p>
    <w:p>
      <w:pPr>
        <w:ind w:left="420"/>
      </w:pPr>
      <w:r>
        <w:t xml:space="preserve">von Räumen, Anlagen, Einrichtungen oder Beförderungsmitteln, in denen Erzeugnisse in das Inland verbracht werden, Nachweise zu führen sind,</w:t>
      </w:r>
    </w:p>
    <w:p>
      <w:pPr>
        <w:ind w:left="420"/>
      </w:pPr>
      <w:r>
        <w:t xml:space="preserve">6. Vorschriften zu erlassen über Umfang und Häufigkeit der Kontrollen nach Nummer 4 sowie das Nähere über Art, Form und Inhalt der Nachweise nach Nummer 5 und über die Dauer ihrer Aufbewahrung zu regeln,</w:t>
      </w:r>
    </w:p>
    <w:p>
      <w:pPr>
        <w:ind w:left="420"/>
      </w:pPr>
      <w:r>
        <w:t xml:space="preserve">7. die hygienischen Anforderungen festzusetzen, unter denen bestimmte Lebensmittel in das Inland verbracht werden dürfen,</w:t>
      </w:r>
    </w:p>
    <w:p>
      <w:pPr>
        <w:ind w:left="420"/>
      </w:pPr>
      <w:r>
        <w:t xml:space="preserve">8. das Verfahren für die Überwachung der Einhaltung von gesundheitlichen, insbesondere hygienischen Anforderungen beim Verbringen von Lebensmitteln in das Inland zu regeln.</w:t>
      </w:r>
    </w:p>
    <w:p>
      <w:r>
        <w:t xml:space="preserve">(3) In der Rechtsverordnung nach Absatz 1 Satz 1 kann angeordnet werden, dass bestimmte Erzeugnisse, einschließlich lebender Tiere im Sinne des § 4 Absatz 1 Nummer 1, nur über bestimmte Zollbehörden oder Grenzkontrollstellen in das Inland verbracht werden dürfen und solche Stellen von einer wissenschaftlich ausgebildeten Person geleitet werden. Das Bundesamt für Verbraucherschutz und Lebensmittelsicherheit gibt die in Satz 1 genannten Stellen im Einvernehmen mit dem Bundesministerium der Finanzen im Bundesanzeiger bekannt, soweit diese Stellen nicht im Amtsblatt der Europäischen Union bekannt gegeben sind oder nicht in Rechtsakten der Europäischen Union eine Bekanntgabe durch die Europäische Kommission vorgesehen ist. Das Bundesministerium der Finanzen kann die Erteilung des Einvernehmens nach Satz 2 auf die Generalzolldirektion übertragen.</w:t>
      </w:r>
    </w:p>
    <w:p>
      <w:r>
        <w:t xml:space="preserve">(4) Das Bundesministerium wird ferner ermächtigt, im Einvernehmen mit dem Bundesministerium der Finanzen durch Rechtsverordnung mit Zustimmung des Bundesrates, soweit es zur Erfüllung der in § 1 Absatz 1 Nummer 1 oder 4, jeweils auch in Verbindung mit § 1 Absatz 3, genannten Zwecke erforderlich ist,</w:t>
      </w:r>
    </w:p>
    <w:p>
      <w:pPr>
        <w:ind w:left="420"/>
      </w:pPr>
      <w:r>
        <w:t xml:space="preserve">1. die Durchfuhr von Erzeugnissen, einschließlich lebender Tiere im Sinne des § 4 Absatz 1 Nummer 1, sowie deren Lagerung in Lagerhäusern abhängig zu machen von</w:t>
      </w:r>
    </w:p>
    <w:p>
      <w:pPr>
        <w:ind w:left="780"/>
      </w:pPr>
      <w:r>
        <w:t xml:space="preserve">a) einer Erlaubnis der zuständigen Behörde und dabei das Nähere über Art, Form und Inhalt der Erlaubnis, über das Verfahren ihrer Erteilung oder die Dauer ihrer Geltung und Aufbewahrung zu regeln,</w:t>
      </w:r>
    </w:p>
    <w:p>
      <w:pPr>
        <w:ind w:left="780"/>
      </w:pPr>
      <w:r>
        <w:t xml:space="preserve">b) Anforderungen an die Beförderung und Lagerung im Inland,</w:t>
      </w:r>
    </w:p>
    <w:p>
      <w:pPr>
        <w:ind w:left="780"/>
      </w:pPr>
      <w:r>
        <w:t xml:space="preserve">c) dem Verbringen aus dem Inland, auch innerhalb bestimmter Fristen, über bestimmte Grenzkontrollstellen und die Einzelheiten hierfür festzulegen,</w:t>
      </w:r>
    </w:p>
    <w:p>
      <w:pPr>
        <w:ind w:left="780"/>
      </w:pPr>
      <w:r>
        <w:t xml:space="preserve">d) einer Kontrolle bei dem Verbringen aus dem Inland unter Mitwirkung einer Zollbehörde,</w:t>
      </w:r>
    </w:p>
    <w:p>
      <w:pPr>
        <w:ind w:left="780"/>
      </w:pPr>
      <w:r>
        <w:t xml:space="preserve">e) einer zollamtlichen Überwachung oder einer Überwachung durch die zuständige Behörde,</w:t>
      </w:r>
    </w:p>
    <w:p>
      <w:pPr>
        <w:ind w:left="780"/>
      </w:pPr>
      <w:r>
        <w:t xml:space="preserve">f) einer Anerkennung der Lagerhäuser durch die zuständige Behörde und dabei das Nähere über Art, Form und Inhalt der Anerkennung, über das Verfahren ihrer Erteilung oder die Dauer ihrer Geltung zu regeln,</w:t>
      </w:r>
    </w:p>
    <w:p>
      <w:pPr>
        <w:ind w:left="420"/>
      </w:pPr>
      <w:r>
        <w:t xml:space="preserve">2. für die Durchfuhr Vorschriften nach Absatz 1 oder 2 zu erlassen.</w:t>
      </w:r>
    </w:p>
    <w:p>
      <w:r>
        <w:rPr>
          <w:color w:val="555555"/>
          <w:sz w:val="17"/>
        </w:rPr>
        <w:t xml:space="preserve">Zitiervorschlag: § 56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