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LFGB — Mitwirkung der Zollbehörden</w:t>
      </w:r>
    </w:p>
    <w:p>
      <w:r>
        <w:rPr>
          <w:color w:val="555555"/>
          <w:sz w:val="18"/>
        </w:rPr>
        <w:t xml:space="preserve">Lebensmittel- und Futtermittelgesetzbuch</w:t>
      </w:r>
    </w:p>
    <w:p>
      <w:r>
        <w:rPr>
          <w:color w:val="555555"/>
          <w:sz w:val="18"/>
        </w:rPr>
        <w:t xml:space="preserve">Stand: 14.03.2026 (konsolidierte Textfassung, kein amtliches Inkrafttretensdatum)</w:t>
      </w:r>
    </w:p>
    <w:p>
      <w:r>
        <w:t xml:space="preserve">(1) Die Zollbehörden wirken, vorbehaltlich der Absätze 2 und 3, bei der Überwachung des Verbringens von Erzeugnissen aus einem Drittland in die Europäische Union, des Verbringens aus dem Inland in ein Drittland oder bei der Durchfuhr mit. Die Zollbehörden können</w:t>
      </w:r>
    </w:p>
    <w:p>
      <w:pPr>
        <w:ind w:left="420"/>
      </w:pPr>
      <w:r>
        <w:t xml:space="preserve">1. Sendungen von Erzeugnissen sowie deren Beförderungsmittel, Behälter, Lade- und Verpackungsmittel bei dem Verbringen aus einem Drittland in die Europäische Union oder dem Verbringen aus dem Inland in ein Drittland oder bei der Durchfuhr zur Überwachung anhalten,</w:t>
      </w:r>
    </w:p>
    <w:p>
      <w:pPr>
        <w:ind w:left="420"/>
      </w:pPr>
      <w:r>
        <w:t xml:space="preserve">2. den Verdacht von Verstößen gegen Verbote und Beschränkungen dieses Gesetzes, der nach diesem Gesetz erlassenen Rechtsverordnungen oder der unmittelbar geltenden Rechtsakte der Europäischen Gemeinschaft oder der Europäischen Union im Anwendungsbereich dieses Gesetzes, der sich bei der Abfertigung ergibt, den nach § 38 Absatz 1 Satz 1 zuständigen Behörden mitteilen,</w:t>
      </w:r>
    </w:p>
    <w:p>
      <w:pPr>
        <w:ind w:left="420"/>
      </w:pPr>
      <w:r>
        <w:t xml:space="preserve">3. in den Fällen der Nummer 2 anordnen, dass die Sendungen von Erzeugnissen auf Kosten und Gefahr des Verfügungsberechtigten einer für die Überwachung jeweils zuständigen Behörde vorgeführt werden.</w:t>
      </w:r>
    </w:p>
    <w:p>
      <w:r>
        <w:t xml:space="preserve">(2) Bei Sendungen von Lebensmitteln, Futtermitteln oder Bedarfsgegenständen im Sinne des § 2 Absatz 6 Satz 1 Nummer 1, die keinen besonderen Grenzkontrollen unterliegen, wirken die Zollbehörden gemäß Artikel 76 der Verordnung (EU) 2017/625 mit.</w:t>
      </w:r>
    </w:p>
    <w:p>
      <w:r>
        <w:t xml:space="preserve">(3) Bei Mitteln zum Tätowieren, kosmetischen Mitteln oder Bedarfsgegenständen im Sinne von § 2 Absatz 6 Satz 1 Nummer 2 bis 9 dieses Gesetzes wirken die Zollbehörden gemäß Artikel 2 Absatz 2 in Verbindung mit den Artikeln 25 bis 28 der Verordnung (EU) Nr. 2019/1020 des Europäischen Parlaments und des Rates vom 20. Juni 2019 über Marktüberwachung und die Konformität von Produkten sowie zur Änderung der Richtlinie 2004/42/EG und der Verordnungen (EG) Nr. 765/2008 und (EU) Nr. 305/2011 (ABl. L 169 vom 25.6.2019, S. 1) mit. Die Zollbehörden melden die Aussetzung der Überlassung nach Artikel 26 der Verordnung (EU) 2019/1020 unverzüglich der zuständigen Behörde, in deren Zuständigkeitsbereich die Zollbehörde gelegen ist.</w:t>
      </w:r>
    </w:p>
    <w:p>
      <w:r>
        <w:t xml:space="preserve">(4) Das Bundesministerium der Finanzen regelt im Einvernehmen mit dem Bundesministerium durch Rechtsverordnung ohne Zustimmung des Bundesrates die Einzelheiten des Verfahrens nach Absatz 1. Es kann dabei insbesondere Pflichten zu Anzeigen, Anmeldungen, Auskünften und zur Leistung von Hilfsdiensten bei der Durchführung von Überwachungsmaßnahmen sowie zur Duldung der Einsichtnahme in Geschäftspapiere und sonstige Unterlagen und zur Duldung von Besichtigungen und von Entnahmen unentgeltlicher Muster und Proben vorsehen. Soweit Rechtsverordnungen nach § 13 Absatz 5 Satz 1 betroffen sind, bedürfen die Rechtsverordnungen nach Satz 1 auch des Einvernehmens mit dem Bundesministerium für Umwelt, Naturschutz und nukleare Sicherheit.</w:t>
      </w:r>
    </w:p>
    <w:p>
      <w:r>
        <w:rPr>
          <w:color w:val="555555"/>
          <w:sz w:val="17"/>
        </w:rPr>
        <w:t xml:space="preserve">Zitiervorschlag: § 55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