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LFGB — Bestimmte Erzeugnisse aus anderen Mitgliedstaaten oder anderen Vertragsstaaten des Abkommens über den Europäischen Wirtschaftsraum</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Abweichend von § 53 Absatz 1 Satz 1 dürfen Lebensmittel, Mittel zum Tätowieren, kosmetische Mittel oder Bedarfsgegenstände, die</w:t>
      </w:r>
    </w:p>
    <w:p>
      <w:pPr>
        <w:ind w:left="420"/>
      </w:pPr>
      <w:r>
        <w:t xml:space="preserve">1. in einem anderen Mitgliedstaat der Europäischen Union oder einem anderen Vertragsstaat des Abkommens über den Europäischen Wirtschaftsraum rechtmäßig hergestellt oder rechtmäßig in den Verkehr gebracht werden oder</w:t>
      </w:r>
    </w:p>
    <w:p>
      <w:pPr>
        <w:ind w:left="420"/>
      </w:pPr>
      <w:r>
        <w:t xml:space="preserve">2. aus einem Drittland stammen und sich in einem Mitgliedstaat der Europäischen Union oder einem anderen Vertragsstaat des Abkommens über den Europäischen Wirtschaftsraum rechtmäßig im Verkehr befinden,</w:t>
      </w:r>
    </w:p>
    <w:p>
      <w:r>
        <w:t xml:space="preserve">in das Inland verbracht und hier in den Verkehr gebracht werden, auch wenn sie den in der Bundesrepublik Deutschland geltenden Vorschriften für Lebensmittel, Mittel zum Tätowieren, kosmetische Mittel oder Bedarfsgegenstände nicht entsprechen. Satz 1 gilt nicht für die dort genannten Erzeugnisse, die</w:t>
      </w:r>
    </w:p>
    <w:p>
      <w:pPr>
        <w:ind w:left="420"/>
      </w:pPr>
      <w:r>
        <w:t xml:space="preserve">1. den Verboten des § 5 Absatz 1 Satz 1, des § 26 oder des § 30, des Artikels 14 Absatz 2 Buchstabe a der Verordnung (EG) Nr. 178/2002 oder des Artikels 3 Absatz 1 Buchstabe a der Verordnung (EG) Nr. 1935/2004 oder den Geboten des Artikels 5 Absatz 1 in Verbindung mit Artikel 3 Satz 1 Buchstabe a, b oder c der Verordnung (EG) Nr. 1223/2009 nicht entsprechen oder</w:t>
      </w:r>
    </w:p>
    <w:p>
      <w:pPr>
        <w:ind w:left="420"/>
      </w:pPr>
      <w:r>
        <w:t xml:space="preserve">2. anderen zum Zweck des § 1 Absatz 1 Nummer 1, auch in Verbindung mit § 1 Absatz 3, erlassenen Rechtsvorschriften nicht entsprechen, soweit nicht die Verkehrsfähigkeit der Erzeugnisse in der Bundesrepublik Deutschland nach Absatz 2 durch eine Allgemeinverfügung des Bundesamtes für Verbraucherschutz und Lebensmittelsicherheit im Bundesanzeiger bekannt gemacht worden ist.</w:t>
      </w:r>
    </w:p>
    <w:p>
      <w:r>
        <w:t xml:space="preserve">(2) Allgemeinverfügungen nach Absatz 1 Satz 2 Nummer 2 werden vom Bundesamt für Verbraucherschutz und Lebensmittelsicherheit im Einvernehmen mit dem Bundesamt für Wirtschaft und Ausfuhrkontrolle erlassen, soweit nicht zwingende Gründe des Gesundheitsschutzes entgegenstehen. Sie sind von demjenigen zu beantragen, der als Erster die Erzeugnisse in das Inland zu verbringen beabsichtigt. Bei der Beurteilung der gesundheitlichen Gefahren eines Erzeugnisses sind die Erkenntnisse der internationalen Forschung sowie bei Lebensmitteln die Ernährungsgewohnheiten in der Bundesrepublik Deutschland zu berücksichtigen. Allgemeinverfügungen nach Satz 1 wirken zugunsten aller Einführer der betreffenden Erzeugnisse aus Mitgliedstaaten der Europäischen Union oder anderen Vertragsstaaten des Abkommens über den Europäischen Wirtschaftsraum.</w:t>
      </w:r>
    </w:p>
    <w:p>
      <w:r>
        <w:t xml:space="preserve">(3) Dem Antrag sind eine genaue Beschreibung des Erzeugnisses sowie die für die Entscheidung erforderlichen verfügbaren Unterlagen beizufügen. Über den Antrag ist in angemessener Frist zu entscheiden. Sofern innerhalb von 90 Tagen eine endgültige Entscheidung über den Antrag noch nicht möglich ist, ist der Antragsteller über die Gründe zu unterrichten.</w:t>
      </w:r>
    </w:p>
    <w:p>
      <w:r>
        <w:t xml:space="preserve">(4) Weichen Lebensmittel von den Vorschriften dieses Gesetzes oder der aufgrund dieses Gesetzes erlassenen Rechtsverordnungen ab, sind die Abweichungen angemessen kenntlich zu machen, soweit dies zum Schutz der Endverbraucher erforderlich ist.</w:t>
      </w:r>
    </w:p>
    <w:p>
      <w:r>
        <w:rPr>
          <w:color w:val="555555"/>
          <w:sz w:val="17"/>
        </w:rPr>
        <w:t xml:space="preserve">Zitiervorschlag: § 54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