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 LFGB — Verbote zum Schutz der Gesundheit</w:t>
      </w:r>
    </w:p>
    <w:p>
      <w:r>
        <w:rPr>
          <w:color w:val="555555"/>
          <w:sz w:val="18"/>
        </w:rPr>
        <w:t xml:space="preserve">Lebensmittel- und Futtermittelgesetzbuch</w:t>
      </w:r>
    </w:p>
    <w:p>
      <w:r>
        <w:rPr>
          <w:color w:val="555555"/>
          <w:sz w:val="18"/>
        </w:rPr>
        <w:t xml:space="preserve">Stand: 14.03.2026 (konsolidierte Textfassung, kein amtliches Inkrafttretensdatum)</w:t>
      </w:r>
    </w:p>
    <w:p>
      <w:r>
        <w:t xml:space="preserve">(1) Es ist verboten, Lebensmittel für andere derart herzustellen oder zu behandeln, dass ihr Verzehr gesundheitsschädlich im Sinne des Artikels 14 Absatz 2 Buchstabe a der Verordnung (EG) Nr. 178/2002 ist. Unberührt bleiben</w:t>
      </w:r>
    </w:p>
    <w:p>
      <w:pPr>
        <w:ind w:left="420"/>
      </w:pPr>
      <w:r>
        <w:t xml:space="preserve">1. das Verbot des Artikels 14 Absatz 1 in Verbindung mit Absatz 2 Buchstabe a der Verordnung (EG) Nr. 178/2002 über das Inverkehrbringen gesundheitsschädlicher Lebensmittel und</w:t>
      </w:r>
    </w:p>
    <w:p>
      <w:pPr>
        <w:ind w:left="420"/>
      </w:pPr>
      <w:r>
        <w:t xml:space="preserve">2. Regelungen in Rechtsverordnungen aufgrund des § 13 Absatz 1 Nummer 3 und 4, soweit sie für den privaten häuslichen Bereich gelten.</w:t>
      </w:r>
    </w:p>
    <w:p>
      <w:r>
        <w:t xml:space="preserve">(2) Es ist ferner verboten, Stoffe, die keine Lebensmittel sind und deren Verzehr gesundheitsschädlich im Sinne des Artikels 14 Absatz 2 Buchstabe a der Verordnung (EG) Nr. 178/2002 in der Fassung vom 17. Januar 2024 ist, als Lebensmittel in den Verkehr zu bringen.</w:t>
      </w:r>
    </w:p>
    <w:p>
      <w:r>
        <w:rPr>
          <w:color w:val="555555"/>
          <w:sz w:val="17"/>
        </w:rPr>
        <w:t xml:space="preserve">Zitiervorschlag: § 5 LFGB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https://recht.nulegal.eu/gesetze/LFGB/5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