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LFGB — Weitere Ermächtigungen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wird ferner ermächtigt, um eine einheitliche Durchführung im Hinblick auf die Zulassung von neuartigen Lebensmitteln und neuartigen Lebensmittelzutaten zu fördern, durch Rechtsverordnung mit Zustimmung des Bundesrates</w:t>
      </w:r>
    </w:p>
    <w:p>
      <w:pPr>
        <w:ind w:left="420"/>
      </w:pPr>
      <w:r>
        <w:t xml:space="preserve">1. das Bundesamt für Verbraucherschutz und Lebensmittelsicherheit oder eine andere Bundesoberbehörde als zuständige Behörde bei Anzeige-, Genehmigungs- oder Zulassungsverfahren von neuartigen Lebensmitteln und Lebensmittelzutaten zu bestimmen sowie</w:t>
      </w:r>
    </w:p>
    <w:p>
      <w:pPr>
        <w:ind w:left="420"/>
      </w:pPr>
      <w:r>
        <w:t xml:space="preserve">2. das Verfahren, insbesondere die Beteiligung der nach § 38 Absatz 1 zuständigen Behörden sowie die Beteiligung des Bundesinstitutes für Risikobewertung, zu regeln.</w:t>
      </w:r>
    </w:p>
    <w:p>
      <w:r>
        <w:t xml:space="preserve">Rechtsverordnungen nach Satz 1 Nummer 2 bedürfen des Einvernehmens mit dem Bundesministerium für Wirtschaft und Energie. § 38 Absatz 7 gilt für bei der Durchführung der in Satz 1 genannten Verfahren gewonnene Daten entsprechend.</w:t>
      </w:r>
    </w:p>
    <w:p>
      <w:r>
        <w:t xml:space="preserve">(2) Das Bundesministerium wird ermächtigt, abweichend von § 38 Absatz 2a Satz 1 durch Rechtsverordnung mit Zustimmung des Bundesrates, soweit es mit den in § 1 Absatz 1 Nummer 1 und Absatz 2, jeweils auch in Verbindung mit § 1 Absatz 3, genannten Zwecken vereinbar ist, zu bestimmen, dass die zuständige Behörde im Fall erlegter Wildschweine oder anderer Tierarten die zwar Träger von Trichinen sein können, bei denen jedoch keine Merkmale festgestellt werden, die das Fleisch als bedenklich für den Verzehr erscheinen lassen, die Entnahme von Proben zur Untersuchung auf Trichinen und die Kennzeichnung übertragen kann auf</w:t>
      </w:r>
    </w:p>
    <w:p>
      <w:pPr>
        <w:ind w:left="420"/>
      </w:pPr>
      <w:r>
        <w:t xml:space="preserve">1. einen Jagdausübungsberechtigten für seinen Jagdbezirk oder</w:t>
      </w:r>
    </w:p>
    <w:p>
      <w:pPr>
        <w:ind w:left="420"/>
      </w:pPr>
      <w:r>
        <w:t xml:space="preserve">2. einen Jäger, dem die Jagd vom Jagdausübungsberechtigten gestattet worden ist,</w:t>
      </w:r>
    </w:p>
    <w:p>
      <w:r>
        <w:t xml:space="preserve">sofern die Person nach Nummer 1 oder Nummer 2 die Voraussetzungen des Artikels 1 Absatz 3 Buchstabe a oder Buchstabe e der Verordnung (EG) Nr. 853/2004 des Europäischen Parlaments und des Rates vom 29. April 2004 mit spezifischen Hygienevorschriften für Lebensmittel tierischen Ursprungs (ABl. L 139 vom 30.4.2004, S. 55; L 226 vom 25.6.2004, S. 22; L 46 vom 21.2.2008, S. 50; L 119 vom 13.5.2010, S. 26; L 160 vom 12.6.2013, S. 15; L 13 vom 16.1.2019, S. 12), die zuletzt durch die Verordnung (EU) 2019/1243 (ABl. L 198 vom 25.7.2019, S. 241) geändert worden ist, erfüllt. In der Rechtsverordnung nach Satz 1 sind die Voraussetzungen und das Verfahren für die Übertragung und die Überwachung der Einhaltung der Vorschriften zu regeln.</w:t>
      </w:r>
    </w:p>
    <w:p>
      <w:r>
        <w:rPr>
          <w:color w:val="555555"/>
          <w:sz w:val="17"/>
        </w:rPr>
        <w:t xml:space="preserve">Zitiervorschlag: § 47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