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LFGB — Schiedsverfahren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Ist eine von der zuständigen Behörde getroffene Maßnahme, die sich auf Sendungen von Lebensmitteln tierischer Herkunft aus anderen Mitgliedstaaten bezieht, zwischen ihr und dem Verfügungsberechtigten streitig, so können beide Parteien einvernehmlich den Streit durch den Schiedsspruch eines Sachverständigen schlichten lassen. Die Streitigkeit ist binnen eines Monats nach Bekanntgabe der Maßnahme einem Sachverständigen zu unterbreiten, der in einem von der Kommission aufgestellten Verzeichnis aufgeführt ist. Der Sachverständige hat das Gutachten binnen 72 Stunden zu erstatten.</w:t>
      </w:r>
    </w:p>
    <w:p>
      <w:r>
        <w:t xml:space="preserve">(2) Auf den Schiedsvertrag und das schiedsrichterliche Verfahren finden die Vorschriften der §§ 1025 bis 1065 der Zivilprozessordnung entsprechende Anwendung. Gericht im Sinne des § 1062 der Zivilprozessordnung ist das zuständige Verwaltungsgericht, Gericht im Sinne des § 1065 der Zivilprozessordnung das zuständige Oberverwaltungsgericht. Abweichend von § 1059 Absatz 3 Satz 1 der Zivilprozessordnung muss der Aufhebungsantrag innerhalb eines Monats bei Gericht eingereicht werden.</w:t>
      </w:r>
    </w:p>
    <w:p>
      <w:r>
        <w:rPr>
          <w:color w:val="555555"/>
          <w:sz w:val="17"/>
        </w:rPr>
        <w:t xml:space="preserve">Zitiervorschlag: § 45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