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LFGB — Duldungs-, Mitwirkungs- und Übermittlungspflichten</w:t>
      </w:r>
    </w:p>
    <w:p>
      <w:r>
        <w:rPr>
          <w:color w:val="555555"/>
          <w:sz w:val="18"/>
        </w:rPr>
        <w:t xml:space="preserve">Lebensmittel- und Futtermittelgesetzbuch</w:t>
      </w:r>
    </w:p>
    <w:p>
      <w:r>
        <w:rPr>
          <w:color w:val="555555"/>
          <w:sz w:val="18"/>
        </w:rPr>
        <w:t xml:space="preserve">Stand: 31.12.2022 (konsolidierte Textfassung, kein amtliches Inkrafttretensdatum)</w:t>
      </w:r>
    </w:p>
    <w:p>
      <w:r>
        <w:t xml:space="preserve">(1) Die Inhaberinnen oder Inhaber der in § 42 Absatz 2 bezeichneten Grundstücke, Räume, Einrichtungen und Geräte und die von ihnen bestellten Vertreter sind verpflichtet, die Maßnahmen nach den §§ 42 bis 43a sowie der Delegierten Verordnung (EU) 2019/2090 zu dulden und die in der Überwachung tätigen Personen bei der Erfüllung ihrer Aufgabe zu unterstützen, insbesondere ihnen auf Verlangen</w:t>
      </w:r>
    </w:p>
    <w:p>
      <w:pPr>
        <w:ind w:left="420"/>
      </w:pPr>
      <w:r>
        <w:t xml:space="preserve">1. die Räume und Geräte zu bezeichnen,</w:t>
      </w:r>
    </w:p>
    <w:p>
      <w:pPr>
        <w:ind w:left="420"/>
      </w:pPr>
      <w:r>
        <w:t xml:space="preserve">2. Räume und Behältnisse zu öffnen und</w:t>
      </w:r>
    </w:p>
    <w:p>
      <w:pPr>
        <w:ind w:left="420"/>
      </w:pPr>
      <w:r>
        <w:t xml:space="preserve">3. die Entnahme der Proben zu ermöglichen.</w:t>
      </w:r>
    </w:p>
    <w:p>
      <w:r>
        <w:t xml:space="preserve">(2) Die in § 42 Absatz 2 Nummer 5 genannten Personen und Personenvereinigungen sind verpflichtet, den in der Überwachung tätigen Personen auf Verlangen unverzüglich die dort genannten Auskünfte zu erteilen. Vorbehaltlich des Absatzes 3 kann der zur Auskunft Verpflichtete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w:t>
      </w:r>
    </w:p>
    <w:p>
      <w:r>
        <w:t xml:space="preserve">(3) Ein Lebensmittelunternehmer oder ein Futtermittelunternehmer ist verpflichtet, den in der Überwachung tätigen Personen auf Verlangen Informationen, die</w:t>
      </w:r>
    </w:p>
    <w:p>
      <w:pPr>
        <w:ind w:left="420"/>
      </w:pPr>
      <w:r>
        <w:t xml:space="preserve">1. er aufgrund eines nach Artikel 18 Absatz 2 Unterabsatz 2 der Verordnung (EG) Nr. 178/2002, auch in Verbindung mit Artikel 5 Absatz 1 der Verordnung (EG) Nr. 767/2009, eingerichteten Systems oder Verfahrens besitzt und</w:t>
      </w:r>
    </w:p>
    <w:p>
      <w:pPr>
        <w:ind w:left="420"/>
      </w:pPr>
      <w:r>
        <w:t xml:space="preserve">2. zur Rückverfolgbarkeit bestimmter Lebensmittel oder Futtermittel erforderlich sind,</w:t>
      </w:r>
    </w:p>
    <w:p>
      <w:r>
        <w:t xml:space="preserve">zu übermitteln. Die in</w:t>
      </w:r>
    </w:p>
    <w:p>
      <w:pPr>
        <w:ind w:left="420"/>
      </w:pPr>
      <w:r>
        <w:t xml:space="preserve">1. Satz 1 oder</w:t>
      </w:r>
    </w:p>
    <w:p>
      <w:pPr>
        <w:ind w:left="420"/>
      </w:pPr>
      <w:r>
        <w:t xml:space="preserve">2. Artikel 18 Absatz 3 Satz 2 der Verordnung (EG) Nr. 178/2002, auch in Verbindung mit Artikel 5 Absatz 1 der Verordnung (EG) Nr. 767/2009,</w:t>
      </w:r>
    </w:p>
    <w:p>
      <w:r>
        <w:t xml:space="preserve">genannten Informationen sind so vorzuhalten, dass sie der zuständigen Behörde spätestens 24 Stunden nach Aufforderung in einem strukturierten, gängigen und maschinenlesbaren Format elektronisch übermittelt werden können. Die zuständige Behörde kann im Einzelfall Ausnahmen von den Anforderungen des Satzes 2 zulassen, soweit dies zur Vermeidung unbilliger Härten für den Lebensmittel- oder Futtermittelunternehmer geboten erscheint und es mit den in § 1 Absatz 1 Nummer 1 genannten Zwecken vereinbar ist.</w:t>
      </w:r>
    </w:p>
    <w:p>
      <w:r>
        <w:t xml:space="preserve">(4) Ergänzend zu Artikel 19 Absatz 1 Satz 1 der Verordnung (EG) Nr. 178/2002 hat ein Lebensmittelunternehmer, der Grund zu der Annahme hat, dass</w:t>
      </w:r>
    </w:p>
    <w:p>
      <w:pPr>
        <w:ind w:left="420"/>
      </w:pPr>
      <w:r>
        <w:t xml:space="preserve">1. ein ihm angeliefertes Lebensmittel oder</w:t>
      </w:r>
    </w:p>
    <w:p>
      <w:pPr>
        <w:ind w:left="420"/>
      </w:pPr>
      <w:r>
        <w:t xml:space="preserve">2. ein von ihm erworbenes Lebensmittel, über das er die tatsächliche unmittelbare Sachherrschaft erlangt hat,</w:t>
      </w:r>
    </w:p>
    <w:p>
      <w:r>
        <w:t xml:space="preserve">einem Verkehrsverbot nach Artikel 14 Absatz 1 der Verordnung (EG) Nr. 178/2002 unterliegt, unverzüglich die zuständige Behörde schriftlich oder elektronisch unter Angabe seines Namens und seiner Anschrift darüber unter Angabe des Namens und der Anschrift desjenigen, von dem ihm das Lebensmittel angeliefert worden ist oder von dem er das Lebensmittel erworben hat, und des Datums der Anlieferung oder des Erwerbs zu unterrichten. Er unterrichtet dabei auch über von ihm hinsichtlich des Lebensmittels getroffene oder beabsichtigte Maßnahmen. Eine Unterrichtung nach Satz 1 ist nicht erforderlich bei einem Lebensmittel pflanzlicher Herkunft, das der Lebensmittelunternehmer</w:t>
      </w:r>
    </w:p>
    <w:p>
      <w:pPr>
        <w:ind w:left="420"/>
      </w:pPr>
      <w:r>
        <w:t xml:space="preserve">1. unschädlich beseitigt hat oder</w:t>
      </w:r>
    </w:p>
    <w:p>
      <w:pPr>
        <w:ind w:left="420"/>
      </w:pPr>
      <w:r>
        <w:t xml:space="preserve">2. so hergestellt oder behandelt hat oder nachvollziehbar so herzustellen oder zu behandeln beabsichtigt, dass es einem Verkehrsverbot nach Artikel 14 Absatz 1 der Verordnung (EG) Nr. 178/2002 nicht mehr unterliegt.</w:t>
      </w:r>
    </w:p>
    <w:p>
      <w:r>
        <w:t xml:space="preserve">(4a) Hat der Verantwortliche eines Labors, das Analysen bei Lebensmitteln durchführt, aufgrund einer von dem Labor erstellten Analyse einer im Inland von einem Lebensmittel gezogenen Probe Grund zu der Annahme, dass das Lebensmittel einem Verkehrsverbot nach Artikel 14 Absatz 1 der Verordnung (EG) Nr. 178/2002 unterliegen würde, so hat er die zuständige Behörde von dem Zeitpunkt und dem Ergebnis der Analyse, der angewandten Analysenmethode und dem Auftraggeber der Analyse unverzüglich schriftlich oder elektronisch zu unterrichten. Die Befugnisse nach § 42 Absatz 2 gelten auch im Fall des Satzes 1.</w:t>
      </w:r>
    </w:p>
    <w:p>
      <w:r>
        <w:t xml:space="preserve">(5) Ergänzend zu Artikel 20 Absatz 1 Satz 1 der Verordnung (EG) Nr. 178/2002, auch in Verbindung mit Artikel 5 Absatz 1 der Verordnung (EG) Nr. 767/2009, hat ein Futtermittelunternehmer, der Grund zu der Annahme hat, dass</w:t>
      </w:r>
    </w:p>
    <w:p>
      <w:pPr>
        <w:ind w:left="420"/>
      </w:pPr>
      <w:r>
        <w:t xml:space="preserve">1. ein ihm angeliefertes Futtermittel oder</w:t>
      </w:r>
    </w:p>
    <w:p>
      <w:pPr>
        <w:ind w:left="420"/>
      </w:pPr>
      <w:r>
        <w:t xml:space="preserve">2. ein von ihm erworbenes Futtermittel, über das er die tatsächliche unmittelbare Sachherrschaft erlangt hat,</w:t>
      </w:r>
    </w:p>
    <w:p>
      <w:r>
        <w:t xml:space="preserve">einem Verkehrsverbot nach Artikel 15 Absatz 1 der Verordnung (EG) Nr. 178/2002, auch in Verbindung mit Artikel 4 Absatz 1 Unterabsatz 2 der Verordnung (EG) Nr. 767/2009, unterliegt, unverzüglich die zuständige Behörde schriftlich oder elektronisch unter Angabe seines Namens und seiner Anschrift darüber unter Angabe des Namens und der Anschrift desjenigen, von dem ihm das Futtermittel angeliefert worden ist oder von dem er das Futtermittel erworben hat, und des Datums der Anlieferung oder des Erwerbs zu unterrichten. Er unterrichtet dabei auch über von ihm hinsichtlich des Futtermittels getroffene oder beabsichtigte Maßnahmen. Eine Unterrichtung nach Satz 1 ist nicht erforderlich bei</w:t>
      </w:r>
    </w:p>
    <w:p>
      <w:pPr>
        <w:ind w:left="420"/>
      </w:pPr>
      <w:r>
        <w:t xml:space="preserve">1. einem Futtermittel, das der Futtermittelunternehmer unschädlich beseitigt hat,</w:t>
      </w:r>
    </w:p>
    <w:p>
      <w:pPr>
        <w:ind w:left="420"/>
      </w:pPr>
      <w:r>
        <w:t xml:space="preserve">2. einem Futtermittel pflanzlicher Herkunft, das der Futtermittelunternehmer so hergestellt oder behandelt hat oder nachvollziehbar so herzustellen oder zu behandeln beabsichtigt, dass es einem Verkehrsverbot nach Artikel 15 Absatz 1 der Verordnung (EG) Nr. 178/2002, auch in Verbindung mit Artikel 4 Absatz 1 Unterabsatz 2 der Verordnung (EG) Nr. 767/2009, nicht mehr unterliegt.</w:t>
      </w:r>
    </w:p>
    <w:p>
      <w:r>
        <w:t xml:space="preserve">(5a) Hat der Verantwortliche eines Labors, das Analysen bei Futtermitteln durchführt, aufgrund einer von dem Labor erstellten Analyse einer im Inland von einem Futtermittel gezogenen Probe Grund zu der Annahme, dass das Futtermittel einem Verbot nach Artikel 15 Absatz 1 der Verordnung (EG) Nr. 178/2002 unterliegen würde, so hat er die zuständige Behörde von dem Zeitpunkt und dem Ergebnis der Analyse, der angewandten Analysenmethode und dem Auftraggeber der Analyse unverzüglich schriftlich oder elektronisch zu unterrichten. Die Befugnisse nach § 42 Absatz 2 gelten auch im Fall des Satzes 1.</w:t>
      </w:r>
    </w:p>
    <w:p>
      <w:r>
        <w:t xml:space="preserve">(6) Eine</w:t>
      </w:r>
    </w:p>
    <w:p>
      <w:pPr>
        <w:ind w:left="420"/>
      </w:pPr>
      <w:r>
        <w:t xml:space="preserve">1. Unterrichtung nach Artikel 19 Absatz 1 oder 3 Satz 1 der Verordnung (EG) Nr. 178/2002 oder Artikel 20 Absatz 1 oder 3 Satz 1 der Verordnung (EG) Nr. 178/2002, auch in Verbindung mit Artikel 5 Absatz 1 der Verordnung (EG) Nr. 767/2009, oder nach Absatz 4a oder Absatz 5a,</w:t>
      </w:r>
    </w:p>
    <w:p>
      <w:pPr>
        <w:ind w:left="420"/>
      </w:pPr>
      <w:r>
        <w:t xml:space="preserve">2. Übermittlung nach Absatz 3 Satz 1 oder nach Artikel 18 Absatz 3 Satz 2 der Verordnung (EG) Nr. 178/2002, auch in Verbindung mit Artikel 5 Absatz 1 der Verordnung (EG) Nr. 767/2009,</w:t>
      </w:r>
    </w:p>
    <w:p>
      <w:pPr>
        <w:ind w:left="420"/>
      </w:pPr>
      <w:r>
        <w:t xml:space="preserve">3. Übermittlung nach Artikel 17 Absatz 2 Satz 2 der Verordnung (EG) Nr. 1935/2004</w:t>
      </w:r>
    </w:p>
    <w:p>
      <w:r>
        <w:t xml:space="preserve">darf nicht zur strafrechtlichen Verfolgung des Unterrichtenden oder Übermittelnden oder für ein Verfahren nach dem Gesetz über Ordnungswidrigkeiten gegen den Unterrichtenden oder Übermittelnden verwendet werden. Satz 1 Nummer 1 gilt auch, wenn der Unterrichtung eine Unterrichtung nach Absatz 4 Satz 1 oder Absatz 5 Satz 1 vorausgegangen ist. Die durch eine Unterrichtung nach Artikel 19 Absatz 1 oder 3 Satz 1 oder Artikel 20 Absatz 1 oder 3 Satz 1 der Verordnung (EG) Nr. 178/2002, auch in Verbindung mit Artikel 5 Absatz 1 der Verordnung (EG) Nr. 767/2009, erlangten Informationen dürfen von der für die Überwachung zuständigen Behörde nur für Maßnahmen zur Erfüllung der in</w:t>
      </w:r>
    </w:p>
    <w:p>
      <w:pPr>
        <w:ind w:left="420"/>
      </w:pPr>
      <w:r>
        <w:t xml:space="preserve">1. § 1 Absatz 1 Nummer 1,</w:t>
      </w:r>
    </w:p>
    <w:p>
      <w:pPr>
        <w:ind w:left="420"/>
      </w:pPr>
      <w:r>
        <w:t xml:space="preserve">2. § 1 Absatz 1 Nummer 2, soweit ein Fall des § 1 Absatz 1a Nummer 1 vorliegt,</w:t>
      </w:r>
    </w:p>
    <w:p>
      <w:pPr>
        <w:ind w:left="420"/>
      </w:pPr>
      <w:r>
        <w:t xml:space="preserve">3. § 1 Absatz 1 Nummer 4 Buchstabe a Doppelbuchstabe aa oder</w:t>
      </w:r>
    </w:p>
    <w:p>
      <w:pPr>
        <w:ind w:left="420"/>
      </w:pPr>
      <w:r>
        <w:t xml:space="preserve">4. § 1 Absatz 2</w:t>
      </w:r>
    </w:p>
    <w:p>
      <w:r>
        <w:t xml:space="preserve">genannten Zwecke verwendet werden.</w:t>
      </w:r>
    </w:p>
    <w:p>
      <w:r>
        <w:rPr>
          <w:color w:val="555555"/>
          <w:sz w:val="17"/>
        </w:rPr>
        <w:t xml:space="preserve">Zitiervorschlag: § 44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