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LFGB — Vorschriften und Ermächtigungen zum Geltungsbereich</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Die Vorschriften dieses Gesetzes</w:t>
      </w:r>
    </w:p>
    <w:p>
      <w:pPr>
        <w:ind w:left="420"/>
      </w:pPr>
      <w:r>
        <w:t xml:space="preserve">1. für Lebensmittel gelten auch für lebende Tiere, die der Gewinnung von Lebensmitteln dienen, soweit dieses Gesetz dies bestimmt,</w:t>
      </w:r>
    </w:p>
    <w:p>
      <w:pPr>
        <w:ind w:left="420"/>
      </w:pPr>
      <w:r>
        <w:t xml:space="preserve">2. über das Inverkehrbringen von kosmetischen Mitteln gelten entsprechend für deren Bereitstellung auf dem Markt,</w:t>
      </w:r>
    </w:p>
    <w:p>
      <w:pPr>
        <w:ind w:left="420"/>
      </w:pPr>
      <w:r>
        <w:t xml:space="preserve">3. für Mittel zum Tätowieren gelten auch für vergleichbare Stoffe und Gemische aus Stoffen, die dazu bestimmt sind, zur Beeinflussung des Aussehens in oder unter die menschliche Haut eingebracht zu werden und dort, auch vorübergehend, zu verbleiben,</w:t>
      </w:r>
    </w:p>
    <w:p>
      <w:pPr>
        <w:ind w:left="420"/>
      </w:pPr>
      <w:r>
        <w:t xml:space="preserve">4. und der aufgrund dieses Gesetzes erlassenen Rechtsverordnungen gelten nicht für Erzeugnisse im Sinne des Weingesetzes – ausgenommen die in § 1 Absatz 2 des Weingesetzes genannten Erzeugnisse –; sie gelten jedoch, soweit das Weingesetz oder aufgrund des Weingesetzes erlassene Rechtsverordnungen auf Vorschriften dieses Gesetzes oder der aufgrund dieses Gesetzes erlassenen Rechtsverordnungen verweisen.</w:t>
      </w:r>
    </w:p>
    <w:p>
      <w:r>
        <w:t xml:space="preserve">(2) In Rechtsverordnungen nach diesem Gesetz können</w:t>
      </w:r>
    </w:p>
    <w:p>
      <w:pPr>
        <w:ind w:left="420"/>
      </w:pPr>
      <w:r>
        <w:t xml:space="preserve">1. Anbieter von Gemeinschaftsverpflegung sowie Gewerbetreibende, soweit sie Lebensmittel oder Bedarfsgegenstände zum Verbrauch innerhalb ihrer Betriebsstätte beziehen, dem Endverbraucher gleichgestellt werden,</w:t>
      </w:r>
    </w:p>
    <w:p>
      <w:pPr>
        <w:ind w:left="420"/>
      </w:pPr>
      <w:r>
        <w:t xml:space="preserve">2. weitere als in den §§ 2 und 3 genannte Begriffsbestimmungen oder davon abweichende Begriffsbestimmungen vorgesehen werden, soweit dadurch der Anwendungsbereich dieses Gesetzes nicht erweitert wird.</w:t>
      </w:r>
    </w:p>
    <w:p>
      <w:r>
        <w:t xml:space="preserve">(3) Das Bundesministerium für Ernährung und Landwirtschaft (Bundesministerium) wird ermächtigt, im Einvernehmen mit dem Bundesministerium für Wirtschaft und Energie durch Rechtsverordnung mit Zustimmung des Bundesrates, soweit es zur Erfüllung der in § 1 Absatz 1 Nummer 1, auch in Verbindung mit § 1 Absatz 3, genannten Zwecke erforderlich ist, den Bedarfsgegenständen andere Gegenstände und Mittel des persönlichen oder häuslichen Bedarfs gleichzustellen, wenn von diesen Gegenständen und Mitteln des persönlichen oder häuslichen Bedarfs bei bestimmungsgemäßem oder vorauszusehendem Gebrauch aufgrund ihrer stofflichen Zusammensetzung, insbesondere durch toxikologisch wirksame Stoffe oder durch Verunreinigungen, gesundheitsgefährdende Einwirkungen auf den menschlichen Körper ausgehen können.</w:t>
      </w:r>
    </w:p>
    <w:p>
      <w:r>
        <w:rPr>
          <w:color w:val="555555"/>
          <w:sz w:val="17"/>
        </w:rPr>
        <w:t xml:space="preserve">Zitiervorschlag: § 4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