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38b LFGB — Unterrichtung von Anbietern digitaler Dienste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15.05.2024 (konsolidierte Textfassung, kein amtliches Inkrafttretensdatum)</w:t>
      </w:r>
    </w:p>
    <w:p>
      <w:r>
        <w:t xml:space="preserve">(1) Erfolgt zu einem Erzeugnis, das im Inland in den Verkehr gebracht worden ist, eine Meldung</w:t>
      </w:r>
    </w:p>
    <w:p>
      <w:pPr>
        <w:ind w:left="420"/>
      </w:pPr>
      <w:r>
        <w:t xml:space="preserve">1. nach Artikel 50 der Verordnung (EG) Nr. 178/2002 oder</w:t>
      </w:r>
    </w:p>
    <w:p>
      <w:pPr>
        <w:ind w:left="420"/>
      </w:pPr>
      <w:r>
        <w:t xml:space="preserve">2. nach Artikel 11 oder 12 der Richtlinie 2001/95/EG des Europäischen Parlaments und des Rates vom 3. Dezember 2001 über die allgemeine Produktsicherheit (ABl. L 11 vom 15.1.2002, S. 4), die zuletzt durch die Verordnung (EG) Nr. 596/2009 (ABl. L 188 vom 18.7.2009, S. 14) geändert worden ist,</w:t>
      </w:r>
    </w:p>
    <w:p>
      <w:r>
        <w:t xml:space="preserve">so kann die zuständige Behörde denjenigen Diensteanbietern nach § 1 Absatz 1 des Digitale-Dienste-Gesetzes, deren Dienste für den Vertrieb des Erzeugnisses genutzt werden, die zur Identifizierung des Erzeugnisses sowie des Herstellers oder Inverkehrbringers erforderlichen Informationen sowie den Grund der Meldung übermitteln.</w:t>
      </w:r>
    </w:p>
    <w:p>
      <w:r>
        <w:t xml:space="preserve">(2) Zuständige Behörde nach Absatz 1 ist die Behörde, in deren Bezirk der Diensteanbieter nach § 2 des Digitale-Dienste-Gesetzes seinen Sitz hat. Hat der Diensteanbieter keinen Sitz im Inland, so ist das Bundesamt für Verbraucherschutz und Lebensmittelsicherheit zuständige Behörde.</w:t>
      </w:r>
    </w:p>
    <w:p>
      <w:r>
        <w:t xml:space="preserve">(3) Bevor die zuständige Behörde Angaben nach Absatz 1 übermittelt, hat sie den Hersteller oder Inverkehrbringer anzuhören. Satz 1 gilt nicht, sofern hierdurch die Erreichung des mit der Maßnahme verfolgten Zwecks gefährdet wird.</w:t>
      </w:r>
    </w:p>
    <w:p>
      <w:r>
        <w:t xml:space="preserve">(4) Die Länder können für die Zwecke des Absatzes 1 eine gemeinsame Stelle einrichten.</w:t>
      </w:r>
    </w:p>
    <w:p>
      <w:r>
        <w:rPr>
          <w:color w:val="555555"/>
          <w:sz w:val="17"/>
        </w:rPr>
        <w:t xml:space="preserve">Zitiervorschlag: § 38b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https://recht.nulegal.eu/gesetze/LFGB/38b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