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38a LFGB — Übermittlung von Daten über den Internethandel</w:t>
      </w:r>
    </w:p>
    <w:p>
      <w:r>
        <w:rPr>
          <w:color w:val="555555"/>
          <w:sz w:val="18"/>
        </w:rPr>
        <w:t xml:space="preserve">Lebensmittel- und Futtermittelgesetzbuch</w:t>
      </w:r>
    </w:p>
    <w:p>
      <w:r>
        <w:rPr>
          <w:color w:val="555555"/>
          <w:sz w:val="18"/>
        </w:rPr>
        <w:t xml:space="preserve">Stand: 14.03.2026 (konsolidierte Textfassung, kein amtliches Inkrafttretensdatum)</w:t>
      </w:r>
    </w:p>
    <w:p>
      <w:r>
        <w:t xml:space="preserve">(1) Das Bundeszentralamt für Steuern übermittelt nach Maßgabe des Satzes 2 oder 3 zur Unterstützung der den Ländern obliegenden Überwachung der Einhaltung der Vorschriften</w:t>
      </w:r>
    </w:p>
    <w:p>
      <w:pPr>
        <w:ind w:left="420"/>
      </w:pPr>
      <w:r>
        <w:t xml:space="preserve">1. dieses Gesetzes,</w:t>
      </w:r>
    </w:p>
    <w:p>
      <w:pPr>
        <w:ind w:left="420"/>
      </w:pPr>
      <w:r>
        <w:t xml:space="preserve">2. der aufgrund dieses Gesetzes erlassenen Rechtsverordnungen und</w:t>
      </w:r>
    </w:p>
    <w:p>
      <w:pPr>
        <w:ind w:left="420"/>
      </w:pPr>
      <w:r>
        <w:t xml:space="preserve">3. der unmittelbar geltenden Rechtsakte der Europäischen Gemeinschaft oder der Europäischen Union im Anwendungsbereich dieses Gesetzes</w:t>
      </w:r>
    </w:p>
    <w:p>
      <w:r>
        <w:t xml:space="preserve">den zuständigen Behörden der Länder auf deren Anforderung die ihm aus der Beobachtung elektronisch angebotener Dienstleistungen nach § 5 Absatz 1 Nummer 17 des Finanzverwaltungsgesetzes vorliegenden Daten über Unternehmen, die diesem Gesetz unterliegende Erzeugnisse im Internet anbieten. Die Anforderungen sind über das Bundesamt für Verbraucherschutz und Lebensmittelsicherheit an das Bundeszentralamt für Steuern zu richten; das Bundeszentralamt für Steuern übermittelt die Daten an das Bundesamt für Verbraucherschutz und Lebensmittelsicherheit, das die Daten den anfordernden Behörden weiterleitet. Soweit die Länder für den Zweck des Satzes 1 eine gemeinsame Stelle einrichten, ergeht die Anforderung durch diese Stelle und sind die in Satz 1 bezeichneten Daten dieser Stelle zu übermitteln; diese Stelle leitet die übermittelten Daten den zuständigen Behörden weiter.</w:t>
      </w:r>
    </w:p>
    <w:p>
      <w:r>
        <w:t xml:space="preserve">(2) Daten im Sinne des Absatzes 1 Satz 1 sind</w:t>
      </w:r>
    </w:p>
    <w:p>
      <w:pPr>
        <w:ind w:left="420"/>
      </w:pPr>
      <w:r>
        <w:t xml:space="preserve">1. der Name, die Anschrift und die Telekommunikationsinformationen des Unternehmens,</w:t>
      </w:r>
    </w:p>
    <w:p>
      <w:pPr>
        <w:ind w:left="420"/>
      </w:pPr>
      <w:r>
        <w:t xml:space="preserve">2. das eindeutige Ordnungsmerkmal, die Domaininformationen und die Landzuordnung,</w:t>
      </w:r>
    </w:p>
    <w:p>
      <w:pPr>
        <w:ind w:left="420"/>
      </w:pPr>
      <w:r>
        <w:t xml:space="preserve">3. die betroffenen Erzeugnisse.</w:t>
      </w:r>
    </w:p>
    <w:p>
      <w:r>
        <w:t xml:space="preserve">(3) Das Bundesamt für Verbraucherschutz und Lebensmittelsicherheit hat die ihm übermittelten Daten unverzüglich nach der Weiterleitung an die zuständigen Behörden zu löschen. Die zuständigen Behörden und die Stelle im Sinne des Absatzes 1 Satz 3 haben die Daten zu löschen, soweit sie nicht mehr erforderlich sind, spätestens jedoch mit Ablauf des dritten Jahres nach der Übermittlung an sie. Die Frist des Satzes 2 gilt nicht, wenn wegen eines anhängigen Bußgeldverfahrens, staatsanwaltlichen Ermittlungsverfahrens oder gerichtlichen Verfahrens eine längere Aufbewahrung erforderlich ist; in diesem Falle sind die Daten mit rechtskräftigem Abschluss des Verfahrens zu löschen.</w:t>
      </w:r>
    </w:p>
    <w:p>
      <w:r>
        <w:t xml:space="preserve">(4) Das Bundesministerium wird ermächtigt, im Einvernehmen mit dem Bundesministerium der Finanzen durch Rechtsverordnung mit Zustimmung des Bundesrates die Einzelheiten des Verfahrens der Datenübermittlung zu regeln.</w:t>
      </w:r>
    </w:p>
    <w:p>
      <w:r>
        <w:rPr>
          <w:color w:val="555555"/>
          <w:sz w:val="17"/>
        </w:rPr>
        <w:t xml:space="preserve">Zitiervorschlag: § 38a LFGB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https://recht.nulegal.eu/gesetze/LFGB/38a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