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LFGB — Weitere Ermächtigungen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im Einvernehmen mit dem Bundesministerium für Wirtschaft und Energie durch Rechtsverordnung mit Zustimmung des Bundesrates, soweit es zur Erfüllung der in § 1 Absatz 1 Nummer 1, 2 oder 4, jeweils auch in Verbindung mit § 1 Absatz 3, genannten Zwecke erforderlich ist,</w:t>
      </w:r>
    </w:p>
    <w:p>
      <w:pPr>
        <w:ind w:left="420"/>
      </w:pPr>
      <w:r>
        <w:t xml:space="preserve">1. vorzuschreiben, dass Betriebe, die bestimmte Erzeugnisse herstellen, behandeln, in den Verkehr bringen oder verwenden, anerkannt, zugelassen oder registriert sein müssen sowie das Verfahren für die Anerkennung, Zulassung oder Registrierung einschließlich des Ruhens der Anerkennung oder Zulassung zu regeln,</w:t>
      </w:r>
    </w:p>
    <w:p>
      <w:pPr>
        <w:ind w:left="420"/>
      </w:pPr>
      <w:r>
        <w:t xml:space="preserve">2. die Voraussetzungen festzulegen, unter denen eine Anerkennung, Zulassung oder Registrierung zu erteilen ist.</w:t>
      </w:r>
    </w:p>
    <w:p>
      <w:r>
        <w:t xml:space="preserve">(2) In der Rechtsverordnung nach Absatz 1 Nummer 2 können an das Herstellen, das Behandeln, das Inverkehrbringen oder das Verwenden des jeweiligen Erzeugnisses Anforderungen insbesondere über</w:t>
      </w:r>
    </w:p>
    <w:p>
      <w:pPr>
        <w:ind w:left="420"/>
      </w:pPr>
      <w:r>
        <w:t xml:space="preserve">1. die bauliche Gestaltung der Anlagen und Einrichtungen, insbesondere hinsichtlich der für die betroffene Tätigkeit einzuhaltenden hygienischen Anforderungen,</w:t>
      </w:r>
    </w:p>
    <w:p>
      <w:pPr>
        <w:ind w:left="420"/>
      </w:pPr>
      <w:r>
        <w:t xml:space="preserve">2. die Gewährleistung der von den betroffenen Betrieben nach der Anerkennung, Zulassung, Registrierung oder Zertifizierung einzuhaltenden Vorschriften dieses Gesetzes und der aufgrund dieses Gesetzes erlassenen Rechtsverordnungen,</w:t>
      </w:r>
    </w:p>
    <w:p>
      <w:pPr>
        <w:ind w:left="420"/>
      </w:pPr>
      <w:r>
        <w:t xml:space="preserve">3. die Einhaltung der Vorschriften über den Arbeitsschutz,</w:t>
      </w:r>
    </w:p>
    <w:p>
      <w:pPr>
        <w:ind w:left="420"/>
      </w:pPr>
      <w:r>
        <w:t xml:space="preserve">4. das Vorliegen der im Hinblick auf die betroffene Tätigkeit erforderlichen Zuverlässigkeit der Betriebsinhaberin oder des Betriebsinhabers oder der von der Betriebsinhaberin oder vom Betriebsinhaber bestellten verantwortlichen Person,</w:t>
      </w:r>
    </w:p>
    <w:p>
      <w:pPr>
        <w:ind w:left="420"/>
      </w:pPr>
      <w:r>
        <w:t xml:space="preserve">5. die im Hinblick auf die betroffene Tätigkeit erforderliche Sachkunde der Betriebsinhaberin oder des Betriebsinhabers oder der von der Betriebsinhaberin oder vom Betriebsinhaber bestellten verantwortlichen Person,</w:t>
      </w:r>
    </w:p>
    <w:p>
      <w:pPr>
        <w:ind w:left="420"/>
      </w:pPr>
      <w:r>
        <w:t xml:space="preserve">6. die Anfertigung von Aufzeichnungen und ihre Aufbewahrung</w:t>
      </w:r>
    </w:p>
    <w:p>
      <w:r>
        <w:t xml:space="preserve">festgelegt werden.</w:t>
      </w:r>
    </w:p>
    <w:p>
      <w:r>
        <w:rPr>
          <w:color w:val="555555"/>
          <w:sz w:val="17"/>
        </w:rPr>
        <w:t xml:space="preserve">Zitiervorschlag: § 37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