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LFGB — Ermächtigungen für betriebseigene Kontrollen und Maßnahmen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Das Bundesministerium wird ermächtigt, im Einvernehmen mit dem Bundesministerium für Wirtschaft und Energie durch Rechtsverordnung mit Zustimmung des Bundesrates, soweit es zur Erfüllung der in § 1 Absatz 1 Nummer 1 oder 4 Buchstabe a Doppelbuchstabe aa, auch in Verbindung mit § 1 Absatz 3, genannten Zwecke erforderlich ist,</w:t>
      </w:r>
    </w:p>
    <w:p>
      <w:pPr>
        <w:ind w:left="420"/>
      </w:pPr>
      <w:r>
        <w:t xml:space="preserve">1. vorzuschreiben, dass Betriebe, die bestimmte Erzeugnisse herstellen, behandeln oder in den Verkehr bringen, bestimmte betriebseigene Kontrollen und Maßnahmen sowie Unterrichtungen oder Schulungen von Personen in der erforderlichen Hygiene durchzuführen und darüber Nachweise zu führen haben, sowie dass Betriebe bestimmten Prüfungs- und Mitteilungspflichten unterliegen,</w:t>
      </w:r>
    </w:p>
    <w:p>
      <w:pPr>
        <w:ind w:left="420"/>
      </w:pPr>
      <w:r>
        <w:t xml:space="preserve">2. das Nähere über Art, Umfang und Häufigkeit der betriebseigenen Kontrollen und Maßnahmen nach Nummer 1 sowie die Auswertung und Mitteilung der Kontrollergebnisse zu regeln,</w:t>
      </w:r>
    </w:p>
    <w:p>
      <w:pPr>
        <w:ind w:left="420"/>
      </w:pPr>
      <w:r>
        <w:t xml:space="preserve">3. das Nähere über Art, Form und Inhalt der Nachweise nach Nummer 1 sowie über die Dauer ihrer Aufbewahrung zu regeln,</w:t>
      </w:r>
    </w:p>
    <w:p>
      <w:pPr>
        <w:ind w:left="420"/>
      </w:pPr>
      <w:r>
        <w:t xml:space="preserve">4. vorzuschreiben, dass Betriebe, die bestimmte Erzeugnisse herstellen, behandeln oder in den Verkehr bringen, oder von diesen Betrieben beauftragte Labors, bei der Durchführung mikrobiologischer Untersuchungen im Rahmen der betriebseigenen Kontrollen nach Nummer 1 bestimmtes Untersuchungsmaterial aufzubewahren und der zuständigen Behörde auf Verlangen auszuhändigen haben sowie die geeignete Art und Weise und die Dauer der Aufbewahrung und die Verwendung des ausgehändigten Untersuchungsmaterials zu regeln.</w:t>
      </w:r>
    </w:p>
    <w:p>
      <w:r>
        <w:t xml:space="preserve">Satz 1 gilt entsprechend für Lebensmittelunternehmen, in denen lebende Tiere im Sinne des § 4 Absatz 1 Nummer 1 gehalten werden. Eine Mitteilung aufgrund einer Rechtsverordnung nach Satz 1 Nummer 2 oder eine Aushändigung von Untersuchungsmaterial aufgrund einer Rechtsverordnung nach Satz 1 Nummer 4 darf nicht zur strafrechtlichen Verfolgung des Mitteilenden oder Aushändigenden oder für ein Verfahren nach dem Gesetz über Ordnungswidrigkeiten gegen den Mitteilenden oder Aushändigenden verwendet werden.</w:t>
      </w:r>
    </w:p>
    <w:p>
      <w:r>
        <w:rPr>
          <w:color w:val="555555"/>
          <w:sz w:val="17"/>
        </w:rPr>
        <w:t xml:space="preserve">Zitiervorschlag: § 36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