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LFGB — Ermächtigungen zum Schutz vor Täuschung und zur Unterrichtung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 im Einvernehmen mit dem Bundesministerium für Wirtschaft und Energie durch Rechtsverordnung mit Zustimmung des Bundesrates, soweit es zur Erfüllung der in § 1 Absatz 1 Nummer 2 oder 3, jeweils auch in Verbindung mit § 1 Absatz 3, genannten Zwecke erforderlich ist,</w:t>
      </w:r>
    </w:p>
    <w:p>
      <w:pPr>
        <w:ind w:left="420"/>
      </w:pPr>
      <w:r>
        <w:t xml:space="preserve">1. Inhalt, Art und Weise und Umfang der Kennzeichnung von Erzeugnissen bei deren Inverkehrbringen oder Behandeln zu regeln und dabei insbesondere</w:t>
      </w:r>
    </w:p>
    <w:p>
      <w:pPr>
        <w:ind w:left="780"/>
      </w:pPr>
      <w:r>
        <w:t xml:space="preserve">a) die Angabe der Bezeichnung, der Masse oder des Volumens sowie</w:t>
      </w:r>
    </w:p>
    <w:p>
      <w:pPr>
        <w:ind w:left="780"/>
      </w:pPr>
      <w:r>
        <w:t xml:space="preserve">b) Angaben über</w:t>
      </w:r>
    </w:p>
    <w:p>
      <w:pPr>
        <w:ind w:left="1140"/>
      </w:pPr>
      <w:r>
        <w:t xml:space="preserve">aa) den Inhalt, insbesondere über die Zusammensetzung, die Beschaffenheit, Inhaltsstoffe oder Energiewerte,</w:t>
      </w:r>
    </w:p>
    <w:p>
      <w:pPr>
        <w:ind w:left="1140"/>
      </w:pPr>
      <w:r>
        <w:t xml:space="preserve">bb) den Hersteller, den für das Inverkehrbringen Verantwortlichen, die Anwendung von Verfahren, den Zeitpunkt oder die Art und Weise der Herstellung, die Haltbarkeit, die Herkunft, die Zubereitung, den Verwendungszweck oder, für bestimmte Erzeugnisse, eine Wartezeit</w:t>
      </w:r>
    </w:p>
    <w:p>
      <w:pPr>
        <w:ind w:left="420"/>
      </w:pPr>
      <w:r>
        <w:t xml:space="preserve">vorzuschreiben,</w:t>
      </w:r>
    </w:p>
    <w:p>
      <w:pPr>
        <w:ind w:left="420"/>
      </w:pPr>
      <w:r>
        <w:t xml:space="preserve">1a. Inhalt, Art und Weise sowie Umfang von anderen als über die Kennzeichnung vermittelten Informationen über Lebensmittel sowie von im Geschäftsverkehr zwischen Lebensmittelunternehmern relevante Informationen, bei denen es sich nicht um an den Endverbraucher gerichtete Informationen über Lebensmittel handelt, zu regeln,</w:t>
      </w:r>
    </w:p>
    <w:p>
      <w:pPr>
        <w:ind w:left="420"/>
      </w:pPr>
      <w:r>
        <w:t xml:space="preserve">2. für bestimmte Erzeugnisse vorzuschreiben, dass</w:t>
      </w:r>
    </w:p>
    <w:p>
      <w:pPr>
        <w:ind w:left="780"/>
      </w:pPr>
      <w:r>
        <w:t xml:space="preserve">a) sie nur in Packungen, Behältnissen oder sonstigen Umhüllungen, auch verschlossen oder von bestimmter Art, in den Verkehr gebracht werden dürfen und dabei die Art oder Sicherung eines Verschlusses zu regeln,</w:t>
      </w:r>
    </w:p>
    <w:p>
      <w:pPr>
        <w:ind w:left="780"/>
      </w:pPr>
      <w:r>
        <w:t xml:space="preserve">b) an den Vorratsgefäßen oder ähnlichen Behältnissen, in denen Erzeugnisse feilgehalten oder sonst zum Verkauf vorrätig gehalten werden, der Inhalt anzugeben ist,</w:t>
      </w:r>
    </w:p>
    <w:p>
      <w:pPr>
        <w:ind w:left="780"/>
      </w:pPr>
      <w:r>
        <w:t xml:space="preserve">c) für sie bestimmte Lagerungsbedingungen anzugeben sind,</w:t>
      </w:r>
    </w:p>
    <w:p>
      <w:pPr>
        <w:ind w:left="420"/>
      </w:pPr>
      <w:r>
        <w:t xml:space="preserve">3. für bestimmte Erzeugnisse Vorschriften über das Herstellen oder das Behandeln zu erlassen,</w:t>
      </w:r>
    </w:p>
    <w:p>
      <w:pPr>
        <w:ind w:left="420"/>
      </w:pPr>
      <w:r>
        <w:t xml:space="preserve">4. für bestimmte Erzeugnisse duldbare Abweichungen bei bestimmten vorgeschriebenen Angaben festzulegen,</w:t>
      </w:r>
    </w:p>
    <w:p>
      <w:pPr>
        <w:ind w:left="420"/>
      </w:pPr>
      <w:r>
        <w:t xml:space="preserve">5. vorzuschreiben, dass derjenige, der bestimmte Erzeugnisse herstellt, behandelt, einführt oder in den Verkehr bringt, bestimmte Informationen, insbesondere über die Verwendung der Erzeugnisse, bereitzuhalten oder der zuständigen Behörde auf Aufforderung zu übermitteln hat, sowie Inhalt, Art und Weise und Beschränkungen des Bereithaltens zu regeln.</w:t>
      </w:r>
    </w:p>
    <w:p>
      <w:r>
        <w:rPr>
          <w:color w:val="555555"/>
          <w:sz w:val="17"/>
        </w:rPr>
        <w:t xml:space="preserve">Zitiervorschlag: § 35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