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LFGB — Vorschriften zum Schutz vor Täuschung</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Es ist verboten, Materialien oder Gegenstände im Sinne des § 2 Absatz 6 Satz 1 Nummer 1 unter irreführender Bezeichnung, Angabe oder Aufmachung in den Verkehr zu bringen oder beim Verkehr mit solchen Bedarfsgegenständen hierfür allgemein oder im Einzelfall mit irreführenden Darstellungen oder sonstigen Aussagen zu werben.</w:t>
      </w:r>
    </w:p>
    <w:p>
      <w:r>
        <w:t xml:space="preserve">(2) Das Bundesministerium wird ermächtigt, im Einvernehmen mit dem Bundesministerium für Wirtschaft und Energie durch Rechtsverordnung mit Zustimmung des Bundesrates, soweit es zur Erfüllung der in § 1 Absatz 1 Nummer 2, auch in Verbindung mit § 1 Absatz 3, genannten Zwecke erforderlich ist, vorzuschreiben, dass andere als in Absatz 1 genannte Bedarfsgegenstände nicht unter irreführender Bezeichnung, Angabe oder Aufmachung in den Verkehr gebracht werden dürfen oder für solche Bedarfsgegenstände allgemein oder im Einzelfall nicht mit irreführenden Darstellungen oder sonstigen Aussagen geworben werden darf und die Einzelheiten dafür zu bestimmen.</w:t>
      </w:r>
    </w:p>
    <w:p>
      <w:r>
        <w:rPr>
          <w:color w:val="555555"/>
          <w:sz w:val="17"/>
        </w:rPr>
        <w:t xml:space="preserve">Zitiervorschlag: § 33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