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LFGB — Ermächtigungen zum Schutz der Gesundheit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Das Bundesministerium wird ermächtigt, im Einvernehmen mit dem Bundesministerium für Wirtschaft und Energie durch Rechtsverordnung mit Zustimmung des Bundesrates, soweit es zur Erfüllung der in § 1 Absatz 1 Nummer 1, auch in Verbindung mit § 1 Absatz 3, genannten Zwecke erforderlich ist,</w:t>
      </w:r>
    </w:p>
    <w:p>
      <w:pPr>
        <w:ind w:left="420"/>
      </w:pPr>
      <w:r>
        <w:t xml:space="preserve">1. die Verwendung bestimmter Stoffe, Stoffgruppen oder Stoffgemische bei dem Herstellen oder Behandeln von bestimmten Bedarfsgegenständen zu verbieten oder zu beschränken,</w:t>
      </w:r>
    </w:p>
    <w:p>
      <w:pPr>
        <w:ind w:left="420"/>
      </w:pPr>
      <w:r>
        <w:t xml:space="preserve">2. vorzuschreiben, dass für das Herstellen bestimmter Bedarfsgegenstände oder einzelner Teile von ihnen nur bestimmte Stoffe verwendet werden dürfen,</w:t>
      </w:r>
    </w:p>
    <w:p>
      <w:pPr>
        <w:ind w:left="420"/>
      </w:pPr>
      <w:r>
        <w:t xml:space="preserve">3. die Anwendung bestimmter Verfahren bei dem Herstellen von bestimmten Bedarfsgegenständen zu verbieten oder zu beschränken,</w:t>
      </w:r>
    </w:p>
    <w:p>
      <w:pPr>
        <w:ind w:left="420"/>
      </w:pPr>
      <w:r>
        <w:t xml:space="preserve">4. Höchstmengen für Stoffe festzusetzen, die</w:t>
      </w:r>
    </w:p>
    <w:p>
      <w:pPr>
        <w:ind w:left="780"/>
      </w:pPr>
      <w:r>
        <w:t xml:space="preserve">a) aus bestimmten Bedarfsgegenständen auf Endverbraucher einwirken oder übergehen können oder</w:t>
      </w:r>
    </w:p>
    <w:p>
      <w:pPr>
        <w:ind w:left="780"/>
      </w:pPr>
      <w:r>
        <w:t xml:space="preserve">b) die beim Herstellen, Behandeln oder Inverkehrbringen von bestimmten Bedarfsgegenständen in oder auf diesen vorhanden sein dürfen,</w:t>
      </w:r>
    </w:p>
    <w:p>
      <w:pPr>
        <w:ind w:left="420"/>
      </w:pPr>
      <w:r>
        <w:t xml:space="preserve">5. Reinheitsanforderungen für bestimmte Stoffe festzusetzen, die bei dem Herstellen bestimmter Bedarfsgegenstände verwendet werden,</w:t>
      </w:r>
    </w:p>
    <w:p>
      <w:pPr>
        <w:ind w:left="420"/>
      </w:pPr>
      <w:r>
        <w:t xml:space="preserve">6. Vorschriften über die Wirkungsweise von Bedarfsgegenständen im Sinne des § 2 Absatz 6 Satz 1 Nummer 1 zu erlassen,</w:t>
      </w:r>
    </w:p>
    <w:p>
      <w:pPr>
        <w:ind w:left="420"/>
      </w:pPr>
      <w:r>
        <w:t xml:space="preserve">7. vorzuschreiben, dass bestimmte Bedarfsgegenstände im Sinne des § 2 Absatz 6 Satz 1 Nummer 3 bis 6 nur in den Verkehr gebracht werden dürfen, wenn bestimmte Anforderungen an ihre mikrobiologische Beschaffenheit eingehalten werden,</w:t>
      </w:r>
    </w:p>
    <w:p>
      <w:pPr>
        <w:ind w:left="420"/>
      </w:pPr>
      <w:r>
        <w:t xml:space="preserve">8. beim Verkehr mit bestimmten Bedarfsgegenständen Warnhinweise, sonstige warnende Aufmachungen, Sicherheitsvorkehrungen oder Anweisungen für das Verhalten bei Unglücksfällen vorzuschreiben.</w:t>
      </w:r>
    </w:p>
    <w:p>
      <w:r>
        <w:t xml:space="preserve">(2) Bedarfsgegenstände, die einer nach Absatz 1 Nummer 1 bis 4 Buchstabe a, Nummer 5 oder 6 erlassenen Rechtsverordnung nicht entsprechen, dürfen nicht in den Verkehr gebracht werden.</w:t>
      </w:r>
    </w:p>
    <w:p>
      <w:r>
        <w:rPr>
          <w:color w:val="555555"/>
          <w:sz w:val="17"/>
        </w:rPr>
        <w:t xml:space="preserve">Zitiervorschlag: § 32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