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LFGB — Übergang von Stoffen auf Lebensmittel</w:t>
      </w:r>
    </w:p>
    <w:p>
      <w:r>
        <w:rPr>
          <w:color w:val="555555"/>
          <w:sz w:val="18"/>
        </w:rPr>
        <w:t xml:space="preserve">Lebensmittel- und Futtermittelgesetzbuch</w:t>
      </w:r>
    </w:p>
    <w:p>
      <w:r>
        <w:rPr>
          <w:color w:val="555555"/>
          <w:sz w:val="18"/>
        </w:rPr>
        <w:t xml:space="preserve">Stand: 07.11.2021 (konsolidierte Textfassung, kein amtliches Inkrafttretensdatum)</w:t>
      </w:r>
    </w:p>
    <w:p>
      <w:r>
        <w:t xml:space="preserve">(1) Es ist verboten, Materialien oder Gegenstände im Sinne des § 2 Absatz 6 Satz 1 Nummer 1, die den in Artikel 3 Absatz 1 der Verordnung (EG) Nr. 1935/2004 festgesetzten Anforderungen an ihre Herstellung nicht entsprechen, als Bedarfsgegenstände zu verwenden oder in den Verkehr zu bringen.</w:t>
      </w:r>
    </w:p>
    <w:p>
      <w:r>
        <w:t xml:space="preserve">(2) Das Bundesministerium wird ermächtigt, durch Rechtsverordnung mit Zustimmung des Bundesrates, soweit es zur Erfüllung der in § 1 Absatz 1 Nummer 1 oder 2, jeweils auch in Verbindung mit § 1 Absatz 3, genannten Zwecke erforderlich ist,</w:t>
      </w:r>
    </w:p>
    <w:p>
      <w:pPr>
        <w:ind w:left="420"/>
      </w:pPr>
      <w:r>
        <w:t xml:space="preserve">1. vorzuschreiben, dass Materialien oder Gegenstände als Bedarfsgegenstände im Sinne des § 2 Absatz 6 Satz 1 Nummer 1 nur so hergestellt werden dürfen, dass sie unter den üblichen oder vorhersehbaren Bedingungen ihrer Verwendung keine Stoffe auf Lebensmittel oder deren Oberfläche in Mengen abgeben, die geeignet sind,</w:t>
      </w:r>
    </w:p>
    <w:p>
      <w:pPr>
        <w:ind w:left="780"/>
      </w:pPr>
      <w:r>
        <w:t xml:space="preserve">a) die menschliche Gesundheit zu gefährden,</w:t>
      </w:r>
    </w:p>
    <w:p>
      <w:pPr>
        <w:ind w:left="780"/>
      </w:pPr>
      <w:r>
        <w:t xml:space="preserve">b) die Zusammensetzung oder Geruch, Geschmack oder Aussehen der Lebensmittel zu beeinträchtigen,</w:t>
      </w:r>
    </w:p>
    <w:p>
      <w:pPr>
        <w:ind w:left="420"/>
      </w:pPr>
      <w:r>
        <w:t xml:space="preserve">2. für bestimmte Stoffe in Bedarfsgegenständen festzulegen, ob und in welchen bestimmten Anteilen die Stoffe auf Lebensmittel übergehen dürfen.</w:t>
      </w:r>
    </w:p>
    <w:p>
      <w:r>
        <w:t xml:space="preserve">Materialien oder Gegenstände, die den Anforderungen des Satzes 1 Nummer 2 nicht entsprechen, dürfen nicht als Bedarfsgegenstände im Sinne des § 2 Absatz 6 Satz 1 Nummer 1 verwendet oder in den Verkehr gebracht werden.</w:t>
      </w:r>
    </w:p>
    <w:p>
      <w:r>
        <w:t xml:space="preserve">(3) Es ist verboten, Lebensmittel, die unter Verwendung eines in Absatz 1 genannten Bedarfsgegenstandes hergestellt oder behandelt worden sind, als Lebensmittel in den Verkehr zu bringen.</w:t>
      </w:r>
    </w:p>
    <w:p>
      <w:r>
        <w:rPr>
          <w:color w:val="555555"/>
          <w:sz w:val="17"/>
        </w:rPr>
        <w:t xml:space="preserve">Zitiervorschlag: § 31 LFGB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https://recht.nulegal.eu/gesetze/LFGB/31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